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color w:val="000000" w:themeColor="text1"/>
          <w:kern w:val="0"/>
          <w:sz w:val="44"/>
          <w:szCs w:val="44"/>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rPr>
          <w:color w:val="000000" w:themeColor="text1"/>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jc w:val="center"/>
        <w:rPr>
          <w:rFonts w:hint="eastAsia"/>
          <w:b/>
          <w:color w:val="000000" w:themeColor="text1"/>
          <w:kern w:val="0"/>
          <w:sz w:val="44"/>
          <w:szCs w:val="44"/>
          <w14:textFill>
            <w14:solidFill>
              <w14:schemeClr w14:val="tx1"/>
            </w14:solidFill>
          </w14:textFill>
        </w:rPr>
      </w:pPr>
      <w:r>
        <w:rPr>
          <w:rFonts w:hint="eastAsia"/>
          <w:b/>
          <w:color w:val="000000" w:themeColor="text1"/>
          <w:kern w:val="0"/>
          <w:sz w:val="44"/>
          <w:szCs w:val="44"/>
          <w14:textFill>
            <w14:solidFill>
              <w14:schemeClr w14:val="tx1"/>
            </w14:solidFill>
          </w14:textFill>
        </w:rPr>
        <w:t>谷邑丰年产1万吨预糊化、膨化、益生菌发酵谷物粉生产线迁建项目竣工环境保护验收监测报告表</w:t>
      </w: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pStyle w:val="14"/>
        <w:rPr>
          <w:b/>
          <w:color w:val="000000" w:themeColor="text1"/>
          <w:sz w:val="28"/>
          <w:szCs w:val="28"/>
          <w14:textFill>
            <w14:solidFill>
              <w14:schemeClr w14:val="tx1"/>
            </w14:solidFill>
          </w14:textFill>
        </w:rPr>
      </w:pPr>
    </w:p>
    <w:p>
      <w:pPr>
        <w:pStyle w:val="14"/>
        <w:rPr>
          <w:b/>
          <w:color w:val="000000" w:themeColor="text1"/>
          <w:sz w:val="28"/>
          <w:szCs w:val="28"/>
          <w14:textFill>
            <w14:solidFill>
              <w14:schemeClr w14:val="tx1"/>
            </w14:solidFill>
          </w14:textFill>
        </w:rPr>
      </w:pPr>
    </w:p>
    <w:p>
      <w:pPr>
        <w:pStyle w:val="14"/>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ind w:firstLine="1960" w:firstLineChars="700"/>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建设单位：江西谷邑丰食品科技有限公司</w:t>
      </w:r>
    </w:p>
    <w:p>
      <w:pPr>
        <w:ind w:firstLine="1960" w:firstLineChars="700"/>
        <w:rPr>
          <w:rFonts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编制单位：江西谷邑丰食品科技有限公司</w:t>
      </w:r>
    </w:p>
    <w:p>
      <w:pPr>
        <w:jc w:val="center"/>
        <w:rPr>
          <w:rFonts w:eastAsiaTheme="minorEastAsia"/>
          <w:b/>
          <w:color w:val="000000" w:themeColor="text1"/>
          <w:sz w:val="28"/>
          <w:szCs w:val="28"/>
          <w14:textFill>
            <w14:solidFill>
              <w14:schemeClr w14:val="tx1"/>
            </w14:solidFill>
          </w14:textFill>
        </w:rPr>
      </w:pPr>
    </w:p>
    <w:p>
      <w:pPr>
        <w:widowControl/>
        <w:adjustRightInd w:val="0"/>
        <w:snapToGrid w:val="0"/>
        <w:spacing w:after="200"/>
        <w:jc w:val="center"/>
        <w:rPr>
          <w:rFonts w:eastAsiaTheme="minorEastAsia"/>
          <w:b/>
          <w:color w:val="000000" w:themeColor="text1"/>
          <w:kern w:val="0"/>
          <w:sz w:val="28"/>
          <w:szCs w:val="28"/>
          <w14:textFill>
            <w14:solidFill>
              <w14:schemeClr w14:val="tx1"/>
            </w14:solidFill>
          </w14:textFill>
        </w:rPr>
      </w:pPr>
      <w:r>
        <w:rPr>
          <w:rFonts w:eastAsiaTheme="minorEastAsia"/>
          <w:b/>
          <w:color w:val="000000" w:themeColor="text1"/>
          <w:kern w:val="0"/>
          <w:sz w:val="28"/>
          <w:szCs w:val="28"/>
          <w14:textFill>
            <w14:solidFill>
              <w14:schemeClr w14:val="tx1"/>
            </w14:solidFill>
          </w14:textFill>
        </w:rPr>
        <w:t>二</w:t>
      </w:r>
      <w:r>
        <w:rPr>
          <w:rFonts w:hint="eastAsia" w:eastAsiaTheme="minorEastAsia"/>
          <w:b/>
          <w:color w:val="000000" w:themeColor="text1"/>
          <w:kern w:val="0"/>
          <w:sz w:val="28"/>
          <w:szCs w:val="28"/>
          <w14:textFill>
            <w14:solidFill>
              <w14:schemeClr w14:val="tx1"/>
            </w14:solidFill>
          </w14:textFill>
        </w:rPr>
        <w:t>〇</w:t>
      </w:r>
      <w:r>
        <w:rPr>
          <w:rFonts w:eastAsiaTheme="minorEastAsia"/>
          <w:b/>
          <w:color w:val="000000" w:themeColor="text1"/>
          <w:kern w:val="0"/>
          <w:sz w:val="28"/>
          <w:szCs w:val="28"/>
          <w14:textFill>
            <w14:solidFill>
              <w14:schemeClr w14:val="tx1"/>
            </w14:solidFill>
          </w14:textFill>
        </w:rPr>
        <w:t>二</w:t>
      </w:r>
      <w:r>
        <w:rPr>
          <w:rFonts w:hint="eastAsia" w:eastAsiaTheme="minorEastAsia"/>
          <w:b/>
          <w:color w:val="000000" w:themeColor="text1"/>
          <w:kern w:val="0"/>
          <w:sz w:val="28"/>
          <w:szCs w:val="28"/>
          <w:lang w:eastAsia="zh-CN"/>
          <w14:textFill>
            <w14:solidFill>
              <w14:schemeClr w14:val="tx1"/>
            </w14:solidFill>
          </w14:textFill>
        </w:rPr>
        <w:t>四</w:t>
      </w:r>
      <w:r>
        <w:rPr>
          <w:rFonts w:eastAsiaTheme="minorEastAsia"/>
          <w:b/>
          <w:color w:val="000000" w:themeColor="text1"/>
          <w:kern w:val="0"/>
          <w:sz w:val="28"/>
          <w:szCs w:val="28"/>
          <w14:textFill>
            <w14:solidFill>
              <w14:schemeClr w14:val="tx1"/>
            </w14:solidFill>
          </w14:textFill>
        </w:rPr>
        <w:t>年</w:t>
      </w:r>
      <w:r>
        <w:rPr>
          <w:rFonts w:hint="eastAsia" w:eastAsiaTheme="minorEastAsia"/>
          <w:b/>
          <w:color w:val="000000" w:themeColor="text1"/>
          <w:kern w:val="0"/>
          <w:sz w:val="28"/>
          <w:szCs w:val="28"/>
          <w:lang w:eastAsia="zh-CN"/>
          <w14:textFill>
            <w14:solidFill>
              <w14:schemeClr w14:val="tx1"/>
            </w14:solidFill>
          </w14:textFill>
        </w:rPr>
        <w:t>三</w:t>
      </w:r>
      <w:r>
        <w:rPr>
          <w:rFonts w:eastAsiaTheme="minorEastAsia"/>
          <w:b/>
          <w:color w:val="000000" w:themeColor="text1"/>
          <w:kern w:val="0"/>
          <w:sz w:val="28"/>
          <w:szCs w:val="28"/>
          <w14:textFill>
            <w14:solidFill>
              <w14:schemeClr w14:val="tx1"/>
            </w14:solidFill>
          </w14:textFill>
        </w:rPr>
        <w:t>月</w:t>
      </w:r>
    </w:p>
    <w:p>
      <w:pPr>
        <w:rPr>
          <w:color w:val="000000" w:themeColor="text1"/>
          <w14:textFill>
            <w14:solidFill>
              <w14:schemeClr w14:val="tx1"/>
            </w14:solidFill>
          </w14:textFill>
        </w:rPr>
        <w:sectPr>
          <w:headerReference r:id="rId3" w:type="default"/>
          <w:footerReference r:id="rId4" w:type="default"/>
          <w:footerReference r:id="rId5" w:type="even"/>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r>
        <w:rPr>
          <w:color w:val="000000" w:themeColor="text1"/>
          <w14:textFill>
            <w14:solidFill>
              <w14:schemeClr w14:val="tx1"/>
            </w14:solidFill>
          </w14:textFill>
        </w:rPr>
        <w:br w:type="page"/>
      </w:r>
      <w:r>
        <w:rPr>
          <w:color w:val="000000" w:themeColor="text1"/>
          <w14:textFill>
            <w14:solidFill>
              <w14:schemeClr w14:val="tx1"/>
            </w14:solidFill>
          </w14:textFill>
        </w:rPr>
        <w:t xml:space="preserve">  </w:t>
      </w:r>
    </w:p>
    <w:p>
      <w:pPr>
        <w:rPr>
          <w:color w:val="000000" w:themeColor="text1"/>
          <w14:textFill>
            <w14:solidFill>
              <w14:schemeClr w14:val="tx1"/>
            </w14:solidFill>
          </w14:textFill>
        </w:rPr>
      </w:pPr>
    </w:p>
    <w:tbl>
      <w:tblPr>
        <w:tblStyle w:val="32"/>
        <w:tblW w:w="0" w:type="auto"/>
        <w:tblInd w:w="0" w:type="dxa"/>
        <w:tblLayout w:type="fixed"/>
        <w:tblCellMar>
          <w:top w:w="0" w:type="dxa"/>
          <w:left w:w="108" w:type="dxa"/>
          <w:bottom w:w="0" w:type="dxa"/>
          <w:right w:w="108" w:type="dxa"/>
        </w:tblCellMar>
      </w:tblPr>
      <w:tblGrid>
        <w:gridCol w:w="8107"/>
      </w:tblGrid>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建设单位法人代表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编制单位法人代表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项 目 负 责 人：</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填    表    人：</w:t>
            </w:r>
          </w:p>
        </w:tc>
      </w:tr>
    </w:tbl>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rPr>
          <w:color w:val="000000" w:themeColor="text1"/>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tbl>
      <w:tblPr>
        <w:tblStyle w:val="32"/>
        <w:tblW w:w="9287" w:type="dxa"/>
        <w:tblInd w:w="0" w:type="dxa"/>
        <w:tblLayout w:type="fixed"/>
        <w:tblCellMar>
          <w:top w:w="0" w:type="dxa"/>
          <w:left w:w="108" w:type="dxa"/>
          <w:bottom w:w="0" w:type="dxa"/>
          <w:right w:w="108" w:type="dxa"/>
        </w:tblCellMar>
      </w:tblPr>
      <w:tblGrid>
        <w:gridCol w:w="1555"/>
        <w:gridCol w:w="2714"/>
        <w:gridCol w:w="1733"/>
        <w:gridCol w:w="3285"/>
      </w:tblGrid>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建设单位：</w:t>
            </w:r>
          </w:p>
        </w:tc>
        <w:tc>
          <w:tcPr>
            <w:tcW w:w="2714" w:type="dxa"/>
            <w:shd w:val="clear" w:color="auto" w:fill="auto"/>
            <w:vAlign w:val="center"/>
          </w:tcPr>
          <w:p>
            <w:pPr>
              <w:spacing w:line="276" w:lineRule="auto"/>
              <w:rPr>
                <w:rFonts w:hint="eastAsia" w:eastAsia="宋体"/>
                <w:color w:val="000000" w:themeColor="text1"/>
                <w:sz w:val="28"/>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江西谷邑丰食品科技有限公司</w:t>
            </w:r>
          </w:p>
        </w:tc>
        <w:tc>
          <w:tcPr>
            <w:tcW w:w="1733"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编制单位：</w:t>
            </w:r>
          </w:p>
        </w:tc>
        <w:tc>
          <w:tcPr>
            <w:tcW w:w="3285" w:type="dxa"/>
            <w:shd w:val="clear" w:color="auto" w:fill="auto"/>
            <w:vAlign w:val="center"/>
          </w:tcPr>
          <w:p>
            <w:pPr>
              <w:spacing w:line="276" w:lineRule="auto"/>
              <w:rPr>
                <w:rFonts w:hint="eastAsia" w:ascii="宋体" w:hAnsi="宋体" w:eastAsia="宋体" w:cs="宋体"/>
                <w:color w:val="000000" w:themeColor="text1"/>
                <w:w w:val="79"/>
                <w:sz w:val="28"/>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江西谷邑丰食品科技有限公司</w:t>
            </w:r>
          </w:p>
        </w:tc>
      </w:tr>
      <w:tr>
        <w:tblPrEx>
          <w:tblCellMar>
            <w:top w:w="0" w:type="dxa"/>
            <w:left w:w="108" w:type="dxa"/>
            <w:bottom w:w="0" w:type="dxa"/>
            <w:right w:w="108" w:type="dxa"/>
          </w:tblCellMar>
        </w:tblPrEx>
        <w:trPr>
          <w:trHeight w:val="574"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电    话:</w:t>
            </w:r>
          </w:p>
        </w:tc>
        <w:tc>
          <w:tcPr>
            <w:tcW w:w="2714" w:type="dxa"/>
            <w:shd w:val="clear" w:color="auto" w:fill="auto"/>
            <w:vAlign w:val="center"/>
          </w:tcPr>
          <w:p>
            <w:pPr>
              <w:spacing w:line="276" w:lineRule="auto"/>
              <w:rPr>
                <w:color w:val="000000" w:themeColor="text1"/>
                <w:sz w:val="28"/>
                <w:szCs w:val="24"/>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13970583699</w:t>
            </w:r>
          </w:p>
        </w:tc>
        <w:tc>
          <w:tcPr>
            <w:tcW w:w="1733"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电    话:</w:t>
            </w:r>
          </w:p>
        </w:tc>
        <w:tc>
          <w:tcPr>
            <w:tcW w:w="3285" w:type="dxa"/>
            <w:shd w:val="clear" w:color="auto" w:fill="auto"/>
            <w:vAlign w:val="center"/>
          </w:tcPr>
          <w:p>
            <w:pPr>
              <w:spacing w:line="276" w:lineRule="auto"/>
              <w:rPr>
                <w:color w:val="000000" w:themeColor="text1"/>
                <w:w w:val="79"/>
                <w:sz w:val="28"/>
                <w:szCs w:val="24"/>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13970583699</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传    真:</w:t>
            </w:r>
          </w:p>
        </w:tc>
        <w:tc>
          <w:tcPr>
            <w:tcW w:w="2714" w:type="dxa"/>
            <w:shd w:val="clear" w:color="auto" w:fill="auto"/>
            <w:vAlign w:val="center"/>
          </w:tcPr>
          <w:p>
            <w:pPr>
              <w:spacing w:line="276" w:lineRule="auto"/>
              <w:jc w:val="center"/>
              <w:rPr>
                <w:b/>
                <w:color w:val="000000" w:themeColor="text1"/>
                <w:sz w:val="28"/>
                <w:szCs w:val="24"/>
                <w14:textFill>
                  <w14:solidFill>
                    <w14:schemeClr w14:val="tx1"/>
                  </w14:solidFill>
                </w14:textFill>
              </w:rPr>
            </w:pPr>
            <w:r>
              <w:rPr>
                <w:b/>
                <w:color w:val="000000" w:themeColor="text1"/>
                <w:sz w:val="28"/>
                <w:szCs w:val="24"/>
                <w14:textFill>
                  <w14:solidFill>
                    <w14:schemeClr w14:val="tx1"/>
                  </w14:solidFill>
                </w14:textFill>
              </w:rPr>
              <w:t>/</w:t>
            </w:r>
          </w:p>
        </w:tc>
        <w:tc>
          <w:tcPr>
            <w:tcW w:w="1733"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传    真:</w:t>
            </w:r>
          </w:p>
        </w:tc>
        <w:tc>
          <w:tcPr>
            <w:tcW w:w="3285" w:type="dxa"/>
            <w:shd w:val="clear" w:color="auto" w:fill="auto"/>
            <w:vAlign w:val="center"/>
          </w:tcPr>
          <w:p>
            <w:pPr>
              <w:spacing w:line="276" w:lineRule="auto"/>
              <w:rPr>
                <w:rFonts w:hint="eastAsia" w:eastAsia="宋体"/>
                <w:color w:val="000000" w:themeColor="text1"/>
                <w:w w:val="79"/>
                <w:sz w:val="28"/>
                <w:szCs w:val="24"/>
                <w:lang w:eastAsia="zh-CN"/>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地    址:</w:t>
            </w:r>
          </w:p>
        </w:tc>
        <w:tc>
          <w:tcPr>
            <w:tcW w:w="2714" w:type="dxa"/>
            <w:shd w:val="clear" w:color="auto" w:fill="auto"/>
            <w:vAlign w:val="center"/>
          </w:tcPr>
          <w:p>
            <w:pPr>
              <w:spacing w:line="276" w:lineRule="auto"/>
              <w:rPr>
                <w:color w:val="000000" w:themeColor="text1"/>
                <w:sz w:val="28"/>
                <w:szCs w:val="24"/>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江西省宜春市丰城市高新技术产业园火炬四路</w:t>
            </w:r>
          </w:p>
        </w:tc>
        <w:tc>
          <w:tcPr>
            <w:tcW w:w="1733"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地    址:</w:t>
            </w:r>
          </w:p>
        </w:tc>
        <w:tc>
          <w:tcPr>
            <w:tcW w:w="3285" w:type="dxa"/>
            <w:shd w:val="clear" w:color="auto" w:fill="auto"/>
            <w:vAlign w:val="center"/>
          </w:tcPr>
          <w:p>
            <w:pPr>
              <w:spacing w:line="276" w:lineRule="auto"/>
              <w:rPr>
                <w:color w:val="000000" w:themeColor="text1"/>
                <w:sz w:val="28"/>
                <w:szCs w:val="24"/>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江西省宜春市丰城市高新技术产业园火炬四路</w:t>
            </w:r>
          </w:p>
        </w:tc>
      </w:tr>
    </w:tbl>
    <w:p>
      <w:pPr>
        <w:spacing w:line="360" w:lineRule="auto"/>
        <w:jc w:val="center"/>
        <w:rPr>
          <w:rFonts w:ascii="黑体" w:eastAsia="黑体"/>
          <w:b/>
          <w:color w:val="000000" w:themeColor="text1"/>
          <w:sz w:val="32"/>
          <w:szCs w:val="32"/>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2"/>
        <w:rPr>
          <w:color w:val="000000" w:themeColor="text1"/>
          <w14:textFill>
            <w14:solidFill>
              <w14:schemeClr w14:val="tx1"/>
            </w14:solidFill>
          </w14:textFill>
        </w:rPr>
      </w:pPr>
    </w:p>
    <w:p>
      <w:pPr>
        <w:spacing w:line="600" w:lineRule="exact"/>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jc w:val="center"/>
        <w:rPr>
          <w:b/>
          <w:color w:val="000000" w:themeColor="text1"/>
          <w:sz w:val="44"/>
          <w:szCs w:val="32"/>
          <w14:textFill>
            <w14:solidFill>
              <w14:schemeClr w14:val="tx1"/>
            </w14:solidFill>
          </w14:textFill>
        </w:rPr>
      </w:pPr>
      <w:r>
        <w:rPr>
          <w:rFonts w:hint="eastAsia"/>
          <w:b/>
          <w:color w:val="000000" w:themeColor="text1"/>
          <w:sz w:val="44"/>
          <w:szCs w:val="32"/>
          <w14:textFill>
            <w14:solidFill>
              <w14:schemeClr w14:val="tx1"/>
            </w14:solidFill>
          </w14:textFill>
        </w:rPr>
        <w:t>目  录</w:t>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rFonts w:ascii="宋体" w:eastAsia="宋体"/>
          <w:b/>
          <w:color w:val="000000" w:themeColor="text1"/>
          <w:sz w:val="24"/>
          <w:szCs w:val="24"/>
          <w14:textFill>
            <w14:solidFill>
              <w14:schemeClr w14:val="tx1"/>
            </w14:solidFill>
          </w14:textFill>
        </w:rPr>
        <w:fldChar w:fldCharType="begin"/>
      </w:r>
      <w:r>
        <w:rPr>
          <w:rFonts w:ascii="宋体" w:eastAsia="宋体"/>
          <w:b/>
          <w:color w:val="000000" w:themeColor="text1"/>
          <w:sz w:val="24"/>
          <w:szCs w:val="24"/>
          <w14:textFill>
            <w14:solidFill>
              <w14:schemeClr w14:val="tx1"/>
            </w14:solidFill>
          </w14:textFill>
        </w:rPr>
        <w:instrText xml:space="preserve"> TOC \o "1-1" \h \z \u </w:instrText>
      </w:r>
      <w:r>
        <w:rPr>
          <w:rFonts w:ascii="宋体" w:eastAsia="宋体"/>
          <w:b/>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"_Toc523906055"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表一  项目基本情况</w:t>
      </w:r>
      <w:r>
        <w:rPr>
          <w:rStyle w:val="36"/>
          <w:rFonts w:hint="eastAsia" w:ascii="Times New Roman" w:hAnsi="Times New Roman" w:eastAsia="宋体"/>
          <w:color w:val="000000" w:themeColor="text1"/>
          <w:sz w:val="24"/>
          <w:szCs w:val="24"/>
          <w14:textFill>
            <w14:solidFill>
              <w14:schemeClr w14:val="tx1"/>
            </w14:solidFill>
          </w14:textFill>
        </w:rPr>
        <w:t>9.1 “三同时”执行情况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"_Toc523906056"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表二  项目概况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"_Toc523906057"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表三  主要污染源、污染物处理及其排放情况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"_Toc523906058"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表四  环境影响报告表主要结论与建议及其审批部门审批决定</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_Toc523906058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"_Toc523906059"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表五  验收监测质量保证及质量控制</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18</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"_Toc523906060"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表六  验收监测内容</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_Toc523906060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"_Toc523906061"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表七  验收监测结果及分析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_Toc523906061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"_Toc523906062"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表八  环评及批复落实情况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_Toc523906062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25</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3"/>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"_Toc523906063" </w:instrText>
      </w:r>
      <w:r>
        <w:rPr>
          <w:color w:val="000000" w:themeColor="text1"/>
          <w14:textFill>
            <w14:solidFill>
              <w14:schemeClr w14:val="tx1"/>
            </w14:solidFill>
          </w14:textFill>
        </w:rPr>
        <w:fldChar w:fldCharType="separate"/>
      </w:r>
      <w:r>
        <w:rPr>
          <w:rStyle w:val="36"/>
          <w:rFonts w:ascii="Times New Roman" w:hAnsi="Times New Roman" w:eastAsia="宋体"/>
          <w:color w:val="000000" w:themeColor="text1"/>
          <w:sz w:val="24"/>
          <w:szCs w:val="24"/>
          <w14:textFill>
            <w14:solidFill>
              <w14:schemeClr w14:val="tx1"/>
            </w14:solidFill>
          </w14:textFill>
        </w:rPr>
        <w:t>表九  验收监测结论及建议</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_Toc523906063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27</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spacing w:line="360" w:lineRule="auto"/>
        <w:ind w:left="964" w:hanging="964" w:hangingChars="400"/>
        <w:jc w:val="left"/>
        <w:rPr>
          <w:rFonts w:ascii="宋体" w:hAnsi="宋体"/>
          <w:bCs/>
          <w:color w:val="000000" w:themeColor="text1"/>
          <w:sz w:val="24"/>
          <w:szCs w:val="24"/>
          <w14:textFill>
            <w14:solidFill>
              <w14:schemeClr w14:val="tx1"/>
            </w14:solidFill>
          </w14:textFill>
        </w:rPr>
      </w:pPr>
      <w:r>
        <w:rPr>
          <w:rFonts w:ascii="宋体" w:hAnsi="宋体"/>
          <w:b/>
          <w:color w:val="000000" w:themeColor="text1"/>
          <w:sz w:val="24"/>
          <w:szCs w:val="24"/>
          <w14:textFill>
            <w14:solidFill>
              <w14:schemeClr w14:val="tx1"/>
            </w14:solidFill>
          </w14:textFill>
        </w:rPr>
        <w:fldChar w:fldCharType="end"/>
      </w:r>
      <w:r>
        <w:rPr>
          <w:rFonts w:ascii="宋体" w:hAnsi="宋体"/>
          <w:bCs/>
          <w:color w:val="000000" w:themeColor="text1"/>
          <w:sz w:val="24"/>
          <w:szCs w:val="24"/>
          <w14:textFill>
            <w14:solidFill>
              <w14:schemeClr w14:val="tx1"/>
            </w14:solidFill>
          </w14:textFill>
        </w:rPr>
        <w:t>附表  建设项目环境保护“三同时”竣工验收登记表</w:t>
      </w:r>
    </w:p>
    <w:p>
      <w:pPr>
        <w:spacing w:line="360" w:lineRule="auto"/>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br w:type="page"/>
      </w:r>
    </w:p>
    <w:p>
      <w:pPr>
        <w:spacing w:line="360" w:lineRule="auto"/>
        <w:rPr>
          <w:rFonts w:ascii="宋体" w:hAnsi="宋体"/>
          <w:color w:val="000000" w:themeColor="text1"/>
          <w:kern w:val="0"/>
          <w:sz w:val="24"/>
          <w14:textFill>
            <w14:solidFill>
              <w14:schemeClr w14:val="tx1"/>
            </w14:solidFill>
          </w14:textFill>
        </w:rPr>
      </w:pPr>
    </w:p>
    <w:p>
      <w:pPr>
        <w:spacing w:line="360" w:lineRule="auto"/>
        <w:rPr>
          <w:rFonts w:ascii="宋体" w:hAnsi="宋体"/>
          <w:color w:val="000000" w:themeColor="text1"/>
          <w:kern w:val="0"/>
          <w:sz w:val="24"/>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5"/>
        <w:rPr>
          <w:color w:val="000000" w:themeColor="text1"/>
          <w14:textFill>
            <w14:solidFill>
              <w14:schemeClr w14:val="tx1"/>
            </w14:solidFill>
          </w14:textFill>
        </w:rPr>
      </w:pPr>
      <w:bookmarkStart w:id="0" w:name="_Toc523906055"/>
      <w:r>
        <w:rPr>
          <w:color w:val="000000" w:themeColor="text1"/>
          <w14:textFill>
            <w14:solidFill>
              <w14:schemeClr w14:val="tx1"/>
            </w14:solidFill>
          </w14:textFill>
        </w:rPr>
        <w:t>表一  项目</w:t>
      </w:r>
      <w:r>
        <w:rPr>
          <w:rFonts w:hint="eastAsia"/>
          <w:color w:val="000000" w:themeColor="text1"/>
          <w14:textFill>
            <w14:solidFill>
              <w14:schemeClr w14:val="tx1"/>
            </w14:solidFill>
          </w14:textFill>
        </w:rPr>
        <w:t>基本情况</w:t>
      </w:r>
      <w:bookmarkEnd w:id="0"/>
    </w:p>
    <w:tbl>
      <w:tblPr>
        <w:tblStyle w:val="32"/>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356" w:type="dxa"/>
            <w:shd w:val="clear" w:color="auto" w:fill="auto"/>
          </w:tcPr>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656"/>
              <w:gridCol w:w="2677"/>
              <w:gridCol w:w="1620"/>
              <w:gridCol w:w="1388"/>
              <w:gridCol w:w="826"/>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1" w:type="pct"/>
                  <w:gridSpan w:val="2"/>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建设项目名称</w:t>
                  </w:r>
                </w:p>
              </w:tc>
              <w:tc>
                <w:tcPr>
                  <w:tcW w:w="412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谷邑丰年产1万吨预糊化、膨化、益生菌发酵谷物粉生产线迁建项目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建设单位名称</w:t>
                  </w:r>
                </w:p>
              </w:tc>
              <w:tc>
                <w:tcPr>
                  <w:tcW w:w="4128" w:type="pct"/>
                  <w:gridSpan w:val="5"/>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江西谷邑丰食品科技有限公司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建设项目性质</w:t>
                  </w:r>
                </w:p>
              </w:tc>
              <w:tc>
                <w:tcPr>
                  <w:tcW w:w="412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新建</w:t>
                  </w:r>
                  <w:r>
                    <w:rPr>
                      <w:rFonts w:hint="eastAsia"/>
                      <w:color w:val="000000" w:themeColor="text1"/>
                      <w:szCs w:val="21"/>
                      <w:lang w:eastAsia="zh-CN"/>
                      <w14:textFill>
                        <w14:solidFill>
                          <w14:schemeClr w14:val="tx1"/>
                        </w14:solidFill>
                      </w14:textFill>
                    </w:rPr>
                    <w:t>（迁建）</w:t>
                  </w:r>
                  <w:r>
                    <w:rPr>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改扩建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技改</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4128" w:type="pct"/>
                  <w:gridSpan w:val="5"/>
                  <w:tcBorders>
                    <w:tl2br w:val="nil"/>
                    <w:tr2bl w:val="nil"/>
                  </w:tcBorders>
                  <w:vAlign w:val="center"/>
                </w:tcPr>
                <w:p>
                  <w:pPr>
                    <w:adjustRightInd w:val="0"/>
                    <w:snapToGrid w:val="0"/>
                    <w:jc w:val="center"/>
                    <w:rPr>
                      <w:rFonts w:hint="eastAsia" w:hAnsi="宋体" w:eastAsia="宋体"/>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江西省宜春市丰城市高新技术产业园火炬四路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主要产品名称</w:t>
                  </w:r>
                </w:p>
              </w:tc>
              <w:tc>
                <w:tcPr>
                  <w:tcW w:w="4128" w:type="pct"/>
                  <w:gridSpan w:val="5"/>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w:t>
                  </w:r>
                  <w:r>
                    <w:rPr>
                      <w:rFonts w:hint="eastAsia"/>
                      <w:color w:val="000000" w:themeColor="text1"/>
                      <w:sz w:val="21"/>
                      <w:szCs w:val="21"/>
                      <w:lang w:eastAsia="zh-CN"/>
                      <w14:textFill>
                        <w14:solidFill>
                          <w14:schemeClr w14:val="tx1"/>
                        </w14:solidFill>
                      </w14:textFill>
                    </w:rPr>
                    <w:t>、</w:t>
                  </w:r>
                  <w:r>
                    <w:rPr>
                      <w:rFonts w:hint="default" w:ascii="Times New Roman"/>
                      <w:color w:val="000000" w:themeColor="text1"/>
                      <w:sz w:val="21"/>
                      <w:szCs w:val="21"/>
                      <w14:textFill>
                        <w14:solidFill>
                          <w14:schemeClr w14:val="tx1"/>
                        </w14:solidFill>
                      </w14:textFill>
                    </w:rPr>
                    <w:t>膨化谷物粉</w:t>
                  </w:r>
                  <w:r>
                    <w:rPr>
                      <w:rFonts w:hint="eastAsia"/>
                      <w:color w:val="000000" w:themeColor="text1"/>
                      <w:sz w:val="21"/>
                      <w:szCs w:val="21"/>
                      <w:lang w:eastAsia="zh-CN"/>
                      <w14:textFill>
                        <w14:solidFill>
                          <w14:schemeClr w14:val="tx1"/>
                        </w14:solidFill>
                      </w14:textFill>
                    </w:rPr>
                    <w:t>、</w:t>
                  </w:r>
                  <w:r>
                    <w:rPr>
                      <w:rFonts w:hint="default" w:ascii="Times New Roman"/>
                      <w:color w:val="000000" w:themeColor="text1"/>
                      <w:sz w:val="21"/>
                      <w:szCs w:val="21"/>
                      <w14:textFill>
                        <w14:solidFill>
                          <w14:schemeClr w14:val="tx1"/>
                        </w14:solidFill>
                      </w14:textFill>
                    </w:rPr>
                    <w:t>益生菌发酵谷物粉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71" w:type="pct"/>
                  <w:gridSpan w:val="2"/>
                  <w:vMerge w:val="restar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设计生产能力</w:t>
                  </w:r>
                </w:p>
              </w:tc>
              <w:tc>
                <w:tcPr>
                  <w:tcW w:w="4128" w:type="pct"/>
                  <w:gridSpan w:val="5"/>
                  <w:tcBorders>
                    <w:tl2br w:val="nil"/>
                    <w:tr2bl w:val="nil"/>
                  </w:tcBorders>
                  <w:vAlign w:val="center"/>
                </w:tcPr>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48"/>
                    <w:gridCol w:w="1850"/>
                    <w:gridCol w:w="1951"/>
                    <w:gridCol w:w="2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val="0"/>
                        <w:tcMar>
                          <w:top w:w="15" w:type="dxa"/>
                          <w:left w:w="15" w:type="dxa"/>
                          <w:right w:w="15" w:type="dxa"/>
                        </w:tcMar>
                        <w:vAlign w:val="center"/>
                      </w:tcPr>
                      <w:p>
                        <w:pPr>
                          <w:pStyle w:val="118"/>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261" w:type="pct"/>
                        <w:noWrap w:val="0"/>
                        <w:tcMar>
                          <w:top w:w="15" w:type="dxa"/>
                          <w:left w:w="15" w:type="dxa"/>
                          <w:right w:w="15" w:type="dxa"/>
                        </w:tcMar>
                        <w:vAlign w:val="center"/>
                      </w:tcPr>
                      <w:p>
                        <w:pPr>
                          <w:pStyle w:val="124"/>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30" w:type="pct"/>
                        <w:noWrap w:val="0"/>
                        <w:tcMar>
                          <w:top w:w="15" w:type="dxa"/>
                          <w:left w:w="15" w:type="dxa"/>
                          <w:right w:w="15" w:type="dxa"/>
                        </w:tcMar>
                        <w:vAlign w:val="center"/>
                      </w:tcPr>
                      <w:p>
                        <w:pPr>
                          <w:pStyle w:val="124"/>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设计生产能力</w:t>
                        </w:r>
                      </w:p>
                    </w:tc>
                    <w:tc>
                      <w:tcPr>
                        <w:tcW w:w="1760" w:type="pct"/>
                        <w:noWrap w:val="0"/>
                        <w:tcMar>
                          <w:top w:w="15" w:type="dxa"/>
                          <w:left w:w="15" w:type="dxa"/>
                          <w:right w:w="15" w:type="dxa"/>
                        </w:tcMar>
                        <w:vAlign w:val="center"/>
                      </w:tcPr>
                      <w:p>
                        <w:pPr>
                          <w:pStyle w:val="124"/>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w:t>
                        </w:r>
                      </w:p>
                    </w:tc>
                    <w:tc>
                      <w:tcPr>
                        <w:tcW w:w="1950"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2500吨</w:t>
                        </w:r>
                      </w:p>
                    </w:tc>
                    <w:tc>
                      <w:tcPr>
                        <w:tcW w:w="1760" w:type="pct"/>
                        <w:noWrap/>
                        <w:tcMar>
                          <w:top w:w="15" w:type="dxa"/>
                          <w:left w:w="15" w:type="dxa"/>
                          <w:right w:w="15" w:type="dxa"/>
                        </w:tcMar>
                        <w:vAlign w:val="center"/>
                      </w:tcPr>
                      <w:p>
                        <w:pPr>
                          <w:pStyle w:val="12"/>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膨化谷物粉</w:t>
                        </w:r>
                      </w:p>
                    </w:tc>
                    <w:tc>
                      <w:tcPr>
                        <w:tcW w:w="1950"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2500吨</w:t>
                        </w:r>
                      </w:p>
                    </w:tc>
                    <w:tc>
                      <w:tcPr>
                        <w:tcW w:w="1760" w:type="pct"/>
                        <w:noWrap/>
                        <w:tcMar>
                          <w:top w:w="15" w:type="dxa"/>
                          <w:left w:w="15" w:type="dxa"/>
                          <w:right w:w="15" w:type="dxa"/>
                        </w:tcMar>
                        <w:vAlign w:val="center"/>
                      </w:tcPr>
                      <w:p>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益生菌发酵谷物粉</w:t>
                        </w:r>
                      </w:p>
                    </w:tc>
                    <w:tc>
                      <w:tcPr>
                        <w:tcW w:w="1950"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5000</w:t>
                        </w:r>
                        <w:r>
                          <w:rPr>
                            <w:rFonts w:hint="default" w:ascii="Times New Roman"/>
                            <w:color w:val="000000" w:themeColor="text1"/>
                            <w:sz w:val="21"/>
                            <w:szCs w:val="21"/>
                            <w14:textFill>
                              <w14:solidFill>
                                <w14:schemeClr w14:val="tx1"/>
                              </w14:solidFill>
                            </w14:textFill>
                          </w:rPr>
                          <w:t>吨</w:t>
                        </w:r>
                      </w:p>
                    </w:tc>
                    <w:tc>
                      <w:tcPr>
                        <w:tcW w:w="1760" w:type="pct"/>
                        <w:noWrap/>
                        <w:tcMar>
                          <w:top w:w="15" w:type="dxa"/>
                          <w:left w:w="15" w:type="dxa"/>
                          <w:right w:w="15" w:type="dxa"/>
                        </w:tcMar>
                        <w:vAlign w:val="center"/>
                      </w:tcPr>
                      <w:p>
                        <w:pPr>
                          <w:pStyle w:val="1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实际生产能力</w:t>
                  </w:r>
                </w:p>
              </w:tc>
              <w:tc>
                <w:tcPr>
                  <w:tcW w:w="4128" w:type="pct"/>
                  <w:gridSpan w:val="5"/>
                  <w:tcBorders>
                    <w:tl2br w:val="nil"/>
                    <w:tr2bl w:val="nil"/>
                  </w:tcBorders>
                  <w:vAlign w:val="center"/>
                </w:tcPr>
                <w:tbl>
                  <w:tblPr>
                    <w:tblStyle w:val="3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48"/>
                    <w:gridCol w:w="1850"/>
                    <w:gridCol w:w="1951"/>
                    <w:gridCol w:w="25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val="0"/>
                        <w:tcMar>
                          <w:top w:w="15" w:type="dxa"/>
                          <w:left w:w="15" w:type="dxa"/>
                          <w:right w:w="15" w:type="dxa"/>
                        </w:tcMar>
                        <w:vAlign w:val="center"/>
                      </w:tcPr>
                      <w:p>
                        <w:pPr>
                          <w:pStyle w:val="118"/>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261" w:type="pct"/>
                        <w:noWrap w:val="0"/>
                        <w:tcMar>
                          <w:top w:w="15" w:type="dxa"/>
                          <w:left w:w="15" w:type="dxa"/>
                          <w:right w:w="15" w:type="dxa"/>
                        </w:tcMar>
                        <w:vAlign w:val="center"/>
                      </w:tcPr>
                      <w:p>
                        <w:pPr>
                          <w:pStyle w:val="124"/>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30" w:type="pct"/>
                        <w:noWrap w:val="0"/>
                        <w:tcMar>
                          <w:top w:w="15" w:type="dxa"/>
                          <w:left w:w="15" w:type="dxa"/>
                          <w:right w:w="15" w:type="dxa"/>
                        </w:tcMar>
                        <w:vAlign w:val="center"/>
                      </w:tcPr>
                      <w:p>
                        <w:pPr>
                          <w:pStyle w:val="124"/>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实际生产能力</w:t>
                        </w:r>
                      </w:p>
                    </w:tc>
                    <w:tc>
                      <w:tcPr>
                        <w:tcW w:w="1760" w:type="pct"/>
                        <w:noWrap w:val="0"/>
                        <w:tcMar>
                          <w:top w:w="15" w:type="dxa"/>
                          <w:left w:w="15" w:type="dxa"/>
                          <w:right w:w="15" w:type="dxa"/>
                        </w:tcMar>
                        <w:vAlign w:val="center"/>
                      </w:tcPr>
                      <w:p>
                        <w:pPr>
                          <w:pStyle w:val="124"/>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8" w:type="dxa"/>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w:t>
                        </w:r>
                      </w:p>
                    </w:tc>
                    <w:tc>
                      <w:tcPr>
                        <w:tcW w:w="1951"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2500吨</w:t>
                        </w:r>
                      </w:p>
                    </w:tc>
                    <w:tc>
                      <w:tcPr>
                        <w:tcW w:w="1760" w:type="pct"/>
                        <w:noWrap/>
                        <w:tcMar>
                          <w:top w:w="15" w:type="dxa"/>
                          <w:left w:w="15" w:type="dxa"/>
                          <w:right w:w="15" w:type="dxa"/>
                        </w:tcMar>
                        <w:vAlign w:val="center"/>
                      </w:tcPr>
                      <w:p>
                        <w:pPr>
                          <w:pStyle w:val="12"/>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8" w:type="dxa"/>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膨化谷物粉</w:t>
                        </w:r>
                      </w:p>
                    </w:tc>
                    <w:tc>
                      <w:tcPr>
                        <w:tcW w:w="1951"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2500吨</w:t>
                        </w:r>
                      </w:p>
                    </w:tc>
                    <w:tc>
                      <w:tcPr>
                        <w:tcW w:w="1760" w:type="pct"/>
                        <w:noWrap/>
                        <w:tcMar>
                          <w:top w:w="15" w:type="dxa"/>
                          <w:left w:w="15" w:type="dxa"/>
                          <w:right w:w="15" w:type="dxa"/>
                        </w:tcMar>
                        <w:vAlign w:val="center"/>
                      </w:tcPr>
                      <w:p>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8" w:type="dxa"/>
                        <w:noWrap/>
                        <w:tcMar>
                          <w:top w:w="15" w:type="dxa"/>
                          <w:left w:w="15" w:type="dxa"/>
                          <w:right w:w="15" w:type="dxa"/>
                        </w:tcMar>
                        <w:vAlign w:val="center"/>
                      </w:tcPr>
                      <w:p>
                        <w:pPr>
                          <w:pStyle w:val="11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849" w:type="dxa"/>
                        <w:noWrap/>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益生菌发酵谷物粉</w:t>
                        </w:r>
                      </w:p>
                    </w:tc>
                    <w:tc>
                      <w:tcPr>
                        <w:tcW w:w="1951" w:type="dxa"/>
                        <w:noWrap w:val="0"/>
                        <w:tcMar>
                          <w:top w:w="15" w:type="dxa"/>
                          <w:left w:w="15" w:type="dxa"/>
                          <w:right w:w="15" w:type="dxa"/>
                        </w:tcMar>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5000</w:t>
                        </w:r>
                        <w:r>
                          <w:rPr>
                            <w:rFonts w:hint="default" w:ascii="Times New Roman"/>
                            <w:color w:val="000000" w:themeColor="text1"/>
                            <w:sz w:val="21"/>
                            <w:szCs w:val="21"/>
                            <w14:textFill>
                              <w14:solidFill>
                                <w14:schemeClr w14:val="tx1"/>
                              </w14:solidFill>
                            </w14:textFill>
                          </w:rPr>
                          <w:t>吨</w:t>
                        </w:r>
                      </w:p>
                    </w:tc>
                    <w:tc>
                      <w:tcPr>
                        <w:tcW w:w="1760" w:type="pct"/>
                        <w:noWrap/>
                        <w:tcMar>
                          <w:top w:w="15" w:type="dxa"/>
                          <w:left w:w="15" w:type="dxa"/>
                          <w:right w:w="15" w:type="dxa"/>
                        </w:tcMar>
                        <w:vAlign w:val="center"/>
                      </w:tcPr>
                      <w:p>
                        <w:pPr>
                          <w:pStyle w:val="12"/>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环评时间</w:t>
                  </w:r>
                </w:p>
              </w:tc>
              <w:tc>
                <w:tcPr>
                  <w:tcW w:w="1464"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021</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月</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开工日期</w:t>
                  </w:r>
                </w:p>
              </w:tc>
              <w:tc>
                <w:tcPr>
                  <w:tcW w:w="1778" w:type="pct"/>
                  <w:gridSpan w:val="3"/>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投入试生产时间</w:t>
                  </w:r>
                </w:p>
              </w:tc>
              <w:tc>
                <w:tcPr>
                  <w:tcW w:w="1464"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月</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现场监测时间</w:t>
                  </w:r>
                </w:p>
              </w:tc>
              <w:tc>
                <w:tcPr>
                  <w:tcW w:w="1778"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月</w:t>
                  </w:r>
                  <w:r>
                    <w:rPr>
                      <w:rFonts w:hint="eastAsia"/>
                      <w:color w:val="000000" w:themeColor="text1"/>
                      <w:szCs w:val="21"/>
                      <w:lang w:val="en-US" w:eastAsia="zh-CN"/>
                      <w14:textFill>
                        <w14:solidFill>
                          <w14:schemeClr w14:val="tx1"/>
                        </w14:solidFill>
                      </w14:textFill>
                    </w:rPr>
                    <w:t>13</w:t>
                  </w:r>
                  <w:r>
                    <w:rPr>
                      <w:rFonts w:hint="eastAsia"/>
                      <w:color w:val="000000" w:themeColor="text1"/>
                      <w:szCs w:val="21"/>
                      <w14:textFill>
                        <w14:solidFill>
                          <w14:schemeClr w14:val="tx1"/>
                        </w14:solidFill>
                      </w14:textFill>
                    </w:rPr>
                    <w:t>日~</w:t>
                  </w:r>
                  <w:r>
                    <w:rPr>
                      <w:rFonts w:hint="eastAsia"/>
                      <w:color w:val="000000" w:themeColor="text1"/>
                      <w:szCs w:val="21"/>
                      <w:lang w:val="en-US" w:eastAsia="zh-CN"/>
                      <w14:textFill>
                        <w14:solidFill>
                          <w14:schemeClr w14:val="tx1"/>
                        </w14:solidFill>
                      </w14:textFill>
                    </w:rPr>
                    <w:t>2024年1月14</w:t>
                  </w:r>
                  <w:r>
                    <w:rPr>
                      <w:rFonts w:hint="eastAsia"/>
                      <w:color w:val="000000" w:themeColor="text1"/>
                      <w:szCs w:val="21"/>
                      <w14:textFill>
                        <w14:solidFill>
                          <w14:schemeClr w14:val="tx1"/>
                        </w14:solidFill>
                      </w14:textFill>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环评报告表审批部门</w:t>
                  </w:r>
                </w:p>
              </w:tc>
              <w:tc>
                <w:tcPr>
                  <w:tcW w:w="1464" w:type="pct"/>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宜春市丰城生态环境局</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w:t>
                  </w:r>
                  <w:r>
                    <w:rPr>
                      <w:rFonts w:hint="eastAsia"/>
                      <w:color w:val="000000" w:themeColor="text1"/>
                      <w:szCs w:val="21"/>
                      <w14:textFill>
                        <w14:solidFill>
                          <w14:schemeClr w14:val="tx1"/>
                        </w14:solidFill>
                      </w14:textFill>
                    </w:rPr>
                    <w:t>报告</w:t>
                  </w:r>
                  <w:r>
                    <w:rPr>
                      <w:color w:val="000000" w:themeColor="text1"/>
                      <w:szCs w:val="21"/>
                      <w14:textFill>
                        <w14:solidFill>
                          <w14:schemeClr w14:val="tx1"/>
                        </w14:solidFill>
                      </w14:textFill>
                    </w:rPr>
                    <w:t>表</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编制单位</w:t>
                  </w:r>
                </w:p>
              </w:tc>
              <w:tc>
                <w:tcPr>
                  <w:tcW w:w="1778" w:type="pct"/>
                  <w:gridSpan w:val="3"/>
                  <w:tcBorders>
                    <w:tl2br w:val="nil"/>
                    <w:tr2bl w:val="nil"/>
                  </w:tcBorders>
                  <w:vAlign w:val="center"/>
                </w:tcPr>
                <w:p>
                  <w:pPr>
                    <w:adjustRightInd w:val="0"/>
                    <w:snapToGrid w:val="0"/>
                    <w:ind w:left="-105" w:leftChars="-50" w:right="-105" w:rightChars="-5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南昌赣华环保技术有限公司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设计单位</w:t>
                  </w:r>
                </w:p>
              </w:tc>
              <w:tc>
                <w:tcPr>
                  <w:tcW w:w="146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w:t>
                  </w:r>
                </w:p>
              </w:tc>
              <w:tc>
                <w:tcPr>
                  <w:tcW w:w="1778"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投资总概算</w:t>
                  </w:r>
                </w:p>
              </w:tc>
              <w:tc>
                <w:tcPr>
                  <w:tcW w:w="1464"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12000</w:t>
                  </w:r>
                  <w:r>
                    <w:rPr>
                      <w:rFonts w:hint="eastAsia"/>
                      <w:color w:val="000000" w:themeColor="text1"/>
                      <w:szCs w:val="21"/>
                      <w14:textFill>
                        <w14:solidFill>
                          <w14:schemeClr w14:val="tx1"/>
                        </w14:solidFill>
                      </w14:textFill>
                    </w:rPr>
                    <w:t>万元</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环保投资总概算</w:t>
                  </w:r>
                </w:p>
              </w:tc>
              <w:tc>
                <w:tcPr>
                  <w:tcW w:w="759"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w:t>
                  </w:r>
                  <w:r>
                    <w:rPr>
                      <w:rFonts w:hint="eastAsia"/>
                      <w:color w:val="000000" w:themeColor="text1"/>
                      <w:sz w:val="21"/>
                      <w:szCs w:val="21"/>
                      <w:lang w:val="en-US" w:eastAsia="zh-CN"/>
                      <w14:textFill>
                        <w14:solidFill>
                          <w14:schemeClr w14:val="tx1"/>
                        </w14:solidFill>
                      </w14:textFill>
                    </w:rPr>
                    <w:t>万元</w:t>
                  </w:r>
                </w:p>
              </w:tc>
              <w:tc>
                <w:tcPr>
                  <w:tcW w:w="45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567"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实际总投资</w:t>
                  </w:r>
                </w:p>
              </w:tc>
              <w:tc>
                <w:tcPr>
                  <w:tcW w:w="1464"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12000</w:t>
                  </w:r>
                  <w:r>
                    <w:rPr>
                      <w:rFonts w:hint="eastAsia"/>
                      <w:color w:val="000000" w:themeColor="text1"/>
                      <w:szCs w:val="21"/>
                      <w14:textFill>
                        <w14:solidFill>
                          <w14:schemeClr w14:val="tx1"/>
                        </w14:solidFill>
                      </w14:textFill>
                    </w:rPr>
                    <w:t>万元</w:t>
                  </w:r>
                </w:p>
              </w:tc>
              <w:tc>
                <w:tcPr>
                  <w:tcW w:w="88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实际环保投资</w:t>
                  </w:r>
                </w:p>
              </w:tc>
              <w:tc>
                <w:tcPr>
                  <w:tcW w:w="759"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w:t>
                  </w:r>
                  <w:r>
                    <w:rPr>
                      <w:rFonts w:hint="eastAsia"/>
                      <w:color w:val="000000" w:themeColor="text1"/>
                      <w:sz w:val="21"/>
                      <w:szCs w:val="21"/>
                      <w:lang w:val="en-US" w:eastAsia="zh-CN"/>
                      <w14:textFill>
                        <w14:solidFill>
                          <w14:schemeClr w14:val="tx1"/>
                        </w14:solidFill>
                      </w14:textFill>
                    </w:rPr>
                    <w:t>万元</w:t>
                  </w:r>
                </w:p>
              </w:tc>
              <w:tc>
                <w:tcPr>
                  <w:tcW w:w="452"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567"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12" w:type="pct"/>
                  <w:tcBorders>
                    <w:tl2br w:val="nil"/>
                    <w:tr2bl w:val="nil"/>
                  </w:tcBorders>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验收监测依据</w:t>
                  </w:r>
                </w:p>
              </w:tc>
              <w:tc>
                <w:tcPr>
                  <w:tcW w:w="4487"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）《中华人民共和国环境保护法》；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）《建设项目环境保护管理条例》(国令第682号)；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）《建设项目竣工环境保护验收暂行办法》（国环规环评[2017]4号）；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）《江西省建设项目环境保护管理条例》；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）《建设项目竣工环境保护验收技术指南污染影响类》（公告2018年第9号）；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lang w:eastAsia="zh-CN"/>
                      <w14:textFill>
                        <w14:solidFill>
                          <w14:schemeClr w14:val="tx1"/>
                        </w14:solidFill>
                      </w14:textFill>
                    </w:rPr>
                    <w:t>）宜春市丰城生态环境局，关于谷邑丰年产1万吨预糊化、膨化、益生菌发酵谷物粉生产线迁建项目环境影响报告表的批复，丰环评字〔202</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65</w:t>
                  </w:r>
                  <w:r>
                    <w:rPr>
                      <w:rFonts w:hint="eastAsia"/>
                      <w:color w:val="000000" w:themeColor="text1"/>
                      <w:sz w:val="24"/>
                      <w:szCs w:val="24"/>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）南昌赣华环保技术有限公司《谷邑丰年产1万吨预糊化、膨化、益生菌发酵谷物粉生产线迁建项目环境影响报告表》；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江西谷邑丰食品科技有限公司固定污染源</w:t>
                  </w:r>
                  <w:r>
                    <w:rPr>
                      <w:rFonts w:hint="eastAsia"/>
                      <w:color w:val="000000" w:themeColor="text1"/>
                      <w:sz w:val="24"/>
                      <w:szCs w:val="24"/>
                      <w:highlight w:val="none"/>
                      <w:lang w:val="en-US" w:eastAsia="zh-CN"/>
                      <w14:textFill>
                        <w14:solidFill>
                          <w14:schemeClr w14:val="tx1"/>
                        </w14:solidFill>
                      </w14:textFill>
                    </w:rPr>
                    <w:t>排污登记回执》（登记编号：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91360981MA38M9XT1R001Y）。</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512" w:type="pct"/>
                  <w:tcBorders>
                    <w:top w:val="single" w:color="auto" w:sz="4" w:space="0"/>
                    <w:bottom w:val="single" w:color="auto" w:sz="4" w:space="0"/>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验收监测评价标准、标号、级别、限值</w:t>
                  </w:r>
                </w:p>
              </w:tc>
              <w:tc>
                <w:tcPr>
                  <w:tcW w:w="4487" w:type="pct"/>
                  <w:gridSpan w:val="6"/>
                  <w:tcBorders>
                    <w:top w:val="single" w:color="auto" w:sz="4" w:space="0"/>
                    <w:tl2br w:val="nil"/>
                    <w:tr2bl w:val="nil"/>
                  </w:tcBorders>
                  <w:vAlign w:val="center"/>
                </w:tcPr>
                <w:p>
                  <w:pPr>
                    <w:adjustRightInd w:val="0"/>
                    <w:snapToGrid w:val="0"/>
                    <w:spacing w:line="24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1、环境质量标准：</w:t>
                  </w:r>
                </w:p>
                <w:p>
                  <w:pPr>
                    <w:pStyle w:val="11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textAlignment w:val="auto"/>
                    <w:rPr>
                      <w:rFonts w:hint="default"/>
                      <w:bCs w:val="0"/>
                      <w:color w:val="000000" w:themeColor="text1"/>
                      <w14:textFill>
                        <w14:solidFill>
                          <w14:schemeClr w14:val="tx1"/>
                        </w14:solidFill>
                      </w14:textFill>
                    </w:rPr>
                  </w:pPr>
                  <w:r>
                    <w:rPr>
                      <w:bCs w:val="0"/>
                      <w:color w:val="000000" w:themeColor="text1"/>
                      <w14:textFill>
                        <w14:solidFill>
                          <w14:schemeClr w14:val="tx1"/>
                        </w14:solidFill>
                      </w14:textFill>
                    </w:rPr>
                    <w:t>表1-1 环境质量标准</w:t>
                  </w:r>
                </w:p>
                <w:tbl>
                  <w:tblPr>
                    <w:tblStyle w:val="32"/>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980"/>
                    <w:gridCol w:w="27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tblHeader/>
                      <w:jc w:val="center"/>
                    </w:trPr>
                    <w:tc>
                      <w:tcPr>
                        <w:tcW w:w="798" w:type="pct"/>
                        <w:vAlign w:val="center"/>
                      </w:tcPr>
                      <w:p>
                        <w:pPr>
                          <w:pStyle w:val="92"/>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分</w:t>
                        </w:r>
                        <w:r>
                          <w:rPr>
                            <w:rFonts w:hint="eastAsia"/>
                            <w:b/>
                            <w:color w:val="000000" w:themeColor="text1"/>
                            <w:sz w:val="21"/>
                            <w:szCs w:val="21"/>
                            <w14:textFill>
                              <w14:solidFill>
                                <w14:schemeClr w14:val="tx1"/>
                              </w14:solidFill>
                            </w14:textFill>
                          </w:rPr>
                          <w:t>类</w:t>
                        </w:r>
                      </w:p>
                    </w:tc>
                    <w:tc>
                      <w:tcPr>
                        <w:tcW w:w="2491" w:type="pct"/>
                        <w:vAlign w:val="center"/>
                      </w:tcPr>
                      <w:p>
                        <w:pPr>
                          <w:pStyle w:val="92"/>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标准名称</w:t>
                        </w:r>
                      </w:p>
                    </w:tc>
                    <w:tc>
                      <w:tcPr>
                        <w:tcW w:w="1709" w:type="pct"/>
                        <w:vAlign w:val="center"/>
                      </w:tcPr>
                      <w:p>
                        <w:pPr>
                          <w:pStyle w:val="92"/>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8"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w:t>
                        </w:r>
                      </w:p>
                    </w:tc>
                    <w:tc>
                      <w:tcPr>
                        <w:tcW w:w="2491"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w:t>
                        </w:r>
                        <w:r>
                          <w:rPr>
                            <w:rFonts w:hint="eastAsia"/>
                            <w:color w:val="000000" w:themeColor="text1"/>
                            <w:sz w:val="21"/>
                            <w:szCs w:val="21"/>
                            <w14:textFill>
                              <w14:solidFill>
                                <w14:schemeClr w14:val="tx1"/>
                              </w14:solidFill>
                            </w14:textFill>
                          </w:rPr>
                          <w:t>（GB3095-2012）</w:t>
                        </w:r>
                      </w:p>
                    </w:tc>
                    <w:tc>
                      <w:tcPr>
                        <w:tcW w:w="1709"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2491"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《地表水环境质量标准》</w:t>
                        </w:r>
                        <w:r>
                          <w:rPr>
                            <w:rFonts w:hint="eastAsia"/>
                            <w:color w:val="000000" w:themeColor="text1"/>
                            <w:sz w:val="21"/>
                            <w:szCs w:val="21"/>
                            <w:lang w:val="en-US" w:eastAsia="zh-CN"/>
                            <w14:textFill>
                              <w14:solidFill>
                                <w14:schemeClr w14:val="tx1"/>
                              </w14:solidFill>
                            </w14:textFill>
                          </w:rPr>
                          <w:t>（GB3838-2002）</w:t>
                        </w:r>
                      </w:p>
                    </w:tc>
                    <w:tc>
                      <w:tcPr>
                        <w:tcW w:w="1709" w:type="pct"/>
                        <w:vAlign w:val="center"/>
                      </w:tcPr>
                      <w:p>
                        <w:pPr>
                          <w:pStyle w:val="92"/>
                          <w:widowControl w:val="0"/>
                          <w:adjustRightInd w:val="0"/>
                          <w:snapToGrid w:val="0"/>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Ⅲ</w:t>
                        </w:r>
                        <w:r>
                          <w:rPr>
                            <w:color w:val="000000" w:themeColor="text1"/>
                            <w:sz w:val="21"/>
                            <w:szCs w:val="21"/>
                            <w14:textFill>
                              <w14:solidFill>
                                <w14:schemeClr w14:val="tx1"/>
                              </w14:solidFill>
                            </w14:textFill>
                          </w:rPr>
                          <w:t>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2491" w:type="pct"/>
                        <w:vAlign w:val="center"/>
                      </w:tcPr>
                      <w:p>
                        <w:pPr>
                          <w:pStyle w:val="92"/>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《声环境质量标准》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GB3096-2008</w:t>
                        </w:r>
                        <w:r>
                          <w:rPr>
                            <w:rFonts w:hint="eastAsia"/>
                            <w:color w:val="000000" w:themeColor="text1"/>
                            <w:sz w:val="21"/>
                            <w:szCs w:val="21"/>
                            <w14:textFill>
                              <w14:solidFill>
                                <w14:schemeClr w14:val="tx1"/>
                              </w14:solidFill>
                            </w14:textFill>
                          </w:rPr>
                          <w:t>）</w:t>
                        </w:r>
                      </w:p>
                    </w:tc>
                    <w:tc>
                      <w:tcPr>
                        <w:tcW w:w="1709" w:type="pct"/>
                        <w:vAlign w:val="center"/>
                      </w:tcPr>
                      <w:p>
                        <w:pPr>
                          <w:pStyle w:val="92"/>
                          <w:widowControl w:val="0"/>
                          <w:adjustRightInd w:val="0"/>
                          <w:snapToGrid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3类</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污染物排放标准：</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废气：</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项目一次粉碎、二次粉粹工序产生的颗粒物执行《大气污染物综合排放标准》（GB16297-1996）中表2颗粒物（其他）二级标准限值要求及无组织排放监控浓度限值要求；食堂油烟执行《饮食业油烟排放标准》(GB18483-2001)中“小型”标准</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详见</w:t>
                  </w:r>
                  <w:r>
                    <w:rPr>
                      <w:rFonts w:hint="eastAsia"/>
                      <w:color w:val="000000" w:themeColor="text1"/>
                      <w:sz w:val="24"/>
                      <w:szCs w:val="24"/>
                      <w:lang w:eastAsia="zh-CN"/>
                      <w14:textFill>
                        <w14:solidFill>
                          <w14:schemeClr w14:val="tx1"/>
                        </w14:solidFill>
                      </w14:textFill>
                    </w:rPr>
                    <w:t>下</w:t>
                  </w:r>
                  <w:r>
                    <w:rPr>
                      <w:rFonts w:hint="eastAsia"/>
                      <w:color w:val="000000" w:themeColor="text1"/>
                      <w:sz w:val="24"/>
                      <w:szCs w:val="24"/>
                      <w14:textFill>
                        <w14:solidFill>
                          <w14:schemeClr w14:val="tx1"/>
                        </w14:solidFill>
                      </w14:textFill>
                    </w:rPr>
                    <w:t>表</w:t>
                  </w:r>
                  <w:r>
                    <w:rPr>
                      <w:rFonts w:hint="eastAsia"/>
                      <w:color w:val="000000" w:themeColor="text1"/>
                      <w:sz w:val="24"/>
                      <w:szCs w:val="24"/>
                      <w:lang w:eastAsia="zh-CN"/>
                      <w14:textFill>
                        <w14:solidFill>
                          <w14:schemeClr w14:val="tx1"/>
                        </w14:solidFill>
                      </w14:textFill>
                    </w:rPr>
                    <w:t>。</w:t>
                  </w:r>
                </w:p>
                <w:p>
                  <w:pPr>
                    <w:pStyle w:val="112"/>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 xml:space="preserve">表1-2 《大气污染物综合排放标准》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798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Layout w:type="autofit"/>
                    <w:tblCellMar>
                      <w:top w:w="0" w:type="dxa"/>
                      <w:left w:w="108" w:type="dxa"/>
                      <w:bottom w:w="0" w:type="dxa"/>
                      <w:right w:w="108" w:type="dxa"/>
                    </w:tblCellMar>
                  </w:tblPr>
                  <w:tblGrid>
                    <w:gridCol w:w="847"/>
                    <w:gridCol w:w="1323"/>
                    <w:gridCol w:w="1409"/>
                    <w:gridCol w:w="1503"/>
                    <w:gridCol w:w="1471"/>
                    <w:gridCol w:w="1434"/>
                  </w:tblGrid>
                  <w:tr>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40" w:hRule="atLeast"/>
                      <w:jc w:val="center"/>
                    </w:trPr>
                    <w:tc>
                      <w:tcPr>
                        <w:tcW w:w="847" w:type="dxa"/>
                        <w:vMerge w:val="restart"/>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项目</w:t>
                        </w:r>
                      </w:p>
                    </w:tc>
                    <w:tc>
                      <w:tcPr>
                        <w:tcW w:w="1323" w:type="dxa"/>
                        <w:vMerge w:val="restart"/>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最高允许排放浓度（mg/m</w:t>
                        </w:r>
                        <w:r>
                          <w:rPr>
                            <w:rFonts w:hint="default" w:ascii="Times New Roman"/>
                            <w:b/>
                            <w:bCs/>
                            <w:color w:val="000000" w:themeColor="text1"/>
                            <w:sz w:val="21"/>
                            <w:szCs w:val="21"/>
                            <w:vertAlign w:val="superscript"/>
                            <w14:textFill>
                              <w14:solidFill>
                                <w14:schemeClr w14:val="tx1"/>
                              </w14:solidFill>
                            </w14:textFill>
                          </w:rPr>
                          <w:t>3</w:t>
                        </w:r>
                        <w:r>
                          <w:rPr>
                            <w:rFonts w:hint="default" w:ascii="Times New Roman"/>
                            <w:b/>
                            <w:bCs/>
                            <w:color w:val="000000" w:themeColor="text1"/>
                            <w:sz w:val="21"/>
                            <w:szCs w:val="21"/>
                            <w14:textFill>
                              <w14:solidFill>
                                <w14:schemeClr w14:val="tx1"/>
                              </w14:solidFill>
                            </w14:textFill>
                          </w:rPr>
                          <w:t>）</w:t>
                        </w:r>
                      </w:p>
                    </w:tc>
                    <w:tc>
                      <w:tcPr>
                        <w:tcW w:w="2912" w:type="dxa"/>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eastAsia" w:hAnsi="宋体"/>
                            <w:color w:val="000000" w:themeColor="text1"/>
                            <w:lang w:eastAsia="zh-CN"/>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最高允许排放速率（kg/h）</w:t>
                        </w:r>
                      </w:p>
                    </w:tc>
                    <w:tc>
                      <w:tcPr>
                        <w:tcW w:w="2905" w:type="dxa"/>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eastAsia" w:hAnsi="宋体"/>
                            <w:color w:val="000000" w:themeColor="text1"/>
                            <w:lang w:eastAsia="zh-CN"/>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40" w:hRule="atLeast"/>
                      <w:jc w:val="center"/>
                    </w:trPr>
                    <w:tc>
                      <w:tcPr>
                        <w:tcW w:w="847" w:type="dxa"/>
                        <w:vMerge w:val="continue"/>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p>
                    </w:tc>
                    <w:tc>
                      <w:tcPr>
                        <w:tcW w:w="1323" w:type="dxa"/>
                        <w:vMerge w:val="continue"/>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p>
                    </w:tc>
                    <w:tc>
                      <w:tcPr>
                        <w:tcW w:w="1409"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排气筒（m）</w:t>
                        </w:r>
                      </w:p>
                    </w:tc>
                    <w:tc>
                      <w:tcPr>
                        <w:tcW w:w="1503"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二级</w:t>
                        </w:r>
                      </w:p>
                    </w:tc>
                    <w:tc>
                      <w:tcPr>
                        <w:tcW w:w="1471"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监控点</w:t>
                        </w:r>
                      </w:p>
                    </w:tc>
                    <w:tc>
                      <w:tcPr>
                        <w:tcW w:w="1434"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b/>
                            <w:bCs/>
                            <w:color w:val="000000" w:themeColor="text1"/>
                            <w:sz w:val="21"/>
                            <w:szCs w:val="21"/>
                            <w14:textFill>
                              <w14:solidFill>
                                <w14:schemeClr w14:val="tx1"/>
                              </w14:solidFill>
                            </w14:textFill>
                          </w:rPr>
                          <w:t>浓度（mg/m</w:t>
                        </w:r>
                        <w:r>
                          <w:rPr>
                            <w:rFonts w:hint="default" w:ascii="Times New Roman"/>
                            <w:b/>
                            <w:bCs/>
                            <w:color w:val="000000" w:themeColor="text1"/>
                            <w:sz w:val="21"/>
                            <w:szCs w:val="21"/>
                            <w:vertAlign w:val="superscript"/>
                            <w14:textFill>
                              <w14:solidFill>
                                <w14:schemeClr w14:val="tx1"/>
                              </w14:solidFill>
                            </w14:textFill>
                          </w:rPr>
                          <w:t>3</w:t>
                        </w:r>
                        <w:r>
                          <w:rPr>
                            <w:rFonts w:hint="default" w:ascii="Times New Roman"/>
                            <w:b/>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40" w:hRule="atLeast"/>
                      <w:jc w:val="center"/>
                    </w:trPr>
                    <w:tc>
                      <w:tcPr>
                        <w:tcW w:w="847"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颗粒物</w:t>
                        </w:r>
                      </w:p>
                    </w:tc>
                    <w:tc>
                      <w:tcPr>
                        <w:tcW w:w="1323"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120</w:t>
                        </w:r>
                      </w:p>
                    </w:tc>
                    <w:tc>
                      <w:tcPr>
                        <w:tcW w:w="1409" w:type="dxa"/>
                        <w:noWrap w:val="0"/>
                        <w:vAlign w:val="center"/>
                      </w:tcPr>
                      <w:p>
                        <w:pPr>
                          <w:keepNext w:val="0"/>
                          <w:keepLines w:val="0"/>
                          <w:suppressLineNumbers w:val="0"/>
                          <w:snapToGrid w:val="0"/>
                          <w:spacing w:before="0" w:beforeAutospacing="0" w:after="0" w:afterAutospacing="0"/>
                          <w:ind w:left="0" w:leftChars="0" w:right="0" w:rightChars="0"/>
                          <w:jc w:val="center"/>
                          <w:rPr>
                            <w:rFonts w:hAnsi="宋体"/>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15</w:t>
                        </w:r>
                      </w:p>
                    </w:tc>
                    <w:tc>
                      <w:tcPr>
                        <w:tcW w:w="1503" w:type="dxa"/>
                        <w:noWrap w:val="0"/>
                        <w:vAlign w:val="center"/>
                      </w:tcPr>
                      <w:p>
                        <w:pPr>
                          <w:keepNext w:val="0"/>
                          <w:keepLines w:val="0"/>
                          <w:suppressLineNumbers w:val="0"/>
                          <w:snapToGrid w:val="0"/>
                          <w:spacing w:before="0" w:beforeAutospacing="0" w:after="0" w:afterAutospacing="0"/>
                          <w:ind w:left="0" w:leftChars="0" w:right="0" w:rightChars="0"/>
                          <w:jc w:val="center"/>
                          <w:rPr>
                            <w:rFonts w:hAnsi="宋体"/>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3.5</w:t>
                        </w:r>
                      </w:p>
                    </w:tc>
                    <w:tc>
                      <w:tcPr>
                        <w:tcW w:w="1471" w:type="dxa"/>
                        <w:noWrap w:val="0"/>
                        <w:vAlign w:val="center"/>
                      </w:tcPr>
                      <w:p>
                        <w:pPr>
                          <w:keepNext w:val="0"/>
                          <w:keepLines w:val="0"/>
                          <w:suppressLineNumbers w:val="0"/>
                          <w:snapToGrid w:val="0"/>
                          <w:spacing w:before="0" w:beforeAutospacing="0" w:after="0" w:afterAutospacing="0"/>
                          <w:ind w:left="0" w:leftChars="0" w:right="0" w:rightChars="0"/>
                          <w:jc w:val="center"/>
                          <w:rPr>
                            <w:rFonts w:hAnsi="宋体"/>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周界外浓度最高点</w:t>
                        </w:r>
                      </w:p>
                    </w:tc>
                    <w:tc>
                      <w:tcPr>
                        <w:tcW w:w="1434" w:type="dxa"/>
                        <w:noWrap w:val="0"/>
                        <w:vAlign w:val="center"/>
                      </w:tcPr>
                      <w:p>
                        <w:pPr>
                          <w:keepNext w:val="0"/>
                          <w:keepLines w:val="0"/>
                          <w:suppressLineNumbers w:val="0"/>
                          <w:snapToGrid w:val="0"/>
                          <w:spacing w:before="0" w:beforeAutospacing="0" w:after="0" w:afterAutospacing="0"/>
                          <w:ind w:left="0" w:leftChars="0" w:right="0" w:rightChars="0"/>
                          <w:jc w:val="center"/>
                          <w:rPr>
                            <w:rFonts w:hAnsi="宋体"/>
                            <w:color w:val="000000" w:themeColor="text1"/>
                            <w14:textFill>
                              <w14:solidFill>
                                <w14:schemeClr w14:val="tx1"/>
                              </w14:solidFill>
                            </w14:textFill>
                          </w:rPr>
                        </w:pPr>
                        <w:r>
                          <w:rPr>
                            <w:rFonts w:hint="default" w:ascii="Times New Roman"/>
                            <w:color w:val="000000" w:themeColor="text1"/>
                            <w:sz w:val="21"/>
                            <w:szCs w:val="21"/>
                            <w14:textFill>
                              <w14:solidFill>
                                <w14:schemeClr w14:val="tx1"/>
                              </w14:solidFill>
                            </w14:textFill>
                          </w:rPr>
                          <w:t>1.0</w:t>
                        </w:r>
                      </w:p>
                    </w:tc>
                  </w:tr>
                </w:tbl>
                <w:p>
                  <w:pPr>
                    <w:pStyle w:val="112"/>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3</w:t>
                  </w:r>
                  <w:r>
                    <w:rPr>
                      <w:rFonts w:hint="default"/>
                      <w:bCs w:val="0"/>
                      <w:color w:val="000000" w:themeColor="text1"/>
                      <w14:textFill>
                        <w14:solidFill>
                          <w14:schemeClr w14:val="tx1"/>
                        </w14:solidFill>
                      </w14:textFill>
                    </w:rPr>
                    <w:t xml:space="preserve"> 《饮食业油烟排放标准》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798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197"/>
                    <w:gridCol w:w="1920"/>
                    <w:gridCol w:w="1620"/>
                    <w:gridCol w:w="12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规模</w:t>
                        </w:r>
                      </w:p>
                    </w:tc>
                    <w:tc>
                      <w:tcPr>
                        <w:tcW w:w="1920"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小型</w:t>
                        </w:r>
                      </w:p>
                    </w:tc>
                    <w:tc>
                      <w:tcPr>
                        <w:tcW w:w="1620"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中型</w:t>
                        </w:r>
                      </w:p>
                    </w:tc>
                    <w:tc>
                      <w:tcPr>
                        <w:tcW w:w="1251" w:type="dxa"/>
                        <w:noWrap w:val="0"/>
                        <w:vAlign w:val="center"/>
                      </w:tcPr>
                      <w:p>
                        <w:pPr>
                          <w:keepNext w:val="0"/>
                          <w:keepLines w:val="0"/>
                          <w:suppressLineNumbers w:val="0"/>
                          <w:snapToGrid w:val="0"/>
                          <w:spacing w:before="0" w:beforeAutospacing="0" w:after="0" w:afterAutospacing="0"/>
                          <w:ind w:left="0" w:leftChars="0" w:right="0" w:rightChars="0"/>
                          <w:jc w:val="center"/>
                          <w:rPr>
                            <w:rFonts w:hAnsi="宋体"/>
                            <w:color w:val="000000" w:themeColor="text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大型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eastAsia="宋体"/>
                            <w:color w:val="000000" w:themeColor="text1"/>
                            <w:lang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基准灶头数</w:t>
                        </w:r>
                      </w:p>
                    </w:tc>
                    <w:tc>
                      <w:tcPr>
                        <w:tcW w:w="19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≥1，&lt;3</w:t>
                        </w:r>
                      </w:p>
                    </w:tc>
                    <w:tc>
                      <w:tcPr>
                        <w:tcW w:w="1620"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≥3，&lt;6</w:t>
                        </w:r>
                      </w:p>
                    </w:tc>
                    <w:tc>
                      <w:tcPr>
                        <w:tcW w:w="1251"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对应灶头总功率(10</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J/h)</w:t>
                        </w:r>
                      </w:p>
                    </w:tc>
                    <w:tc>
                      <w:tcPr>
                        <w:tcW w:w="19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≥1.67，&lt;5.00</w:t>
                        </w:r>
                      </w:p>
                    </w:tc>
                    <w:tc>
                      <w:tcPr>
                        <w:tcW w:w="16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≥5.00，&lt;10</w:t>
                        </w:r>
                      </w:p>
                    </w:tc>
                    <w:tc>
                      <w:tcPr>
                        <w:tcW w:w="1251"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对应排气罩灶面总投影面积(m</w:t>
                        </w:r>
                        <w:r>
                          <w:rPr>
                            <w:rFonts w:hint="default" w:ascii="Times New Roman" w:hAnsi="Times New Roman" w:cs="Times New Roman"/>
                            <w:b/>
                            <w:bCs/>
                            <w:color w:val="000000" w:themeColor="text1"/>
                            <w:szCs w:val="21"/>
                            <w:vertAlign w:val="superscript"/>
                            <w14:textFill>
                              <w14:solidFill>
                                <w14:schemeClr w14:val="tx1"/>
                              </w14:solidFill>
                            </w14:textFill>
                          </w:rPr>
                          <w:t>2</w:t>
                        </w:r>
                        <w:r>
                          <w:rPr>
                            <w:rFonts w:hint="default" w:ascii="Times New Roman" w:hAnsi="Times New Roman" w:cs="Times New Roman"/>
                            <w:b/>
                            <w:bCs/>
                            <w:color w:val="000000" w:themeColor="text1"/>
                            <w:szCs w:val="21"/>
                            <w14:textFill>
                              <w14:solidFill>
                                <w14:schemeClr w14:val="tx1"/>
                              </w14:solidFill>
                            </w14:textFill>
                          </w:rPr>
                          <w:t>)</w:t>
                        </w:r>
                      </w:p>
                    </w:tc>
                    <w:tc>
                      <w:tcPr>
                        <w:tcW w:w="19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≥1.1，&lt;3.3</w:t>
                        </w:r>
                      </w:p>
                    </w:tc>
                    <w:tc>
                      <w:tcPr>
                        <w:tcW w:w="16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≥3.3，&lt;6.6</w:t>
                        </w:r>
                      </w:p>
                    </w:tc>
                    <w:tc>
                      <w:tcPr>
                        <w:tcW w:w="1251"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最高允许排放浓度(mg/m</w:t>
                        </w:r>
                        <w:r>
                          <w:rPr>
                            <w:rFonts w:hint="default" w:ascii="Times New Roman" w:hAnsi="Times New Roman" w:cs="Times New Roman"/>
                            <w:b/>
                            <w:bCs/>
                            <w:color w:val="000000" w:themeColor="text1"/>
                            <w:szCs w:val="21"/>
                            <w:vertAlign w:val="superscript"/>
                            <w14:textFill>
                              <w14:solidFill>
                                <w14:schemeClr w14:val="tx1"/>
                              </w14:solidFill>
                            </w14:textFill>
                          </w:rPr>
                          <w:t>3</w:t>
                        </w:r>
                        <w:r>
                          <w:rPr>
                            <w:rFonts w:hint="default" w:ascii="Times New Roman" w:hAnsi="Times New Roman" w:cs="Times New Roman"/>
                            <w:b/>
                            <w:bCs/>
                            <w:color w:val="000000" w:themeColor="text1"/>
                            <w:szCs w:val="21"/>
                            <w14:textFill>
                              <w14:solidFill>
                                <w14:schemeClr w14:val="tx1"/>
                              </w14:solidFill>
                            </w14:textFill>
                          </w:rPr>
                          <w:t>)</w:t>
                        </w:r>
                      </w:p>
                    </w:tc>
                    <w:tc>
                      <w:tcPr>
                        <w:tcW w:w="4791" w:type="dxa"/>
                        <w:gridSpan w:val="3"/>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3197"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净化设施最低去除率(%)</w:t>
                        </w:r>
                      </w:p>
                    </w:tc>
                    <w:tc>
                      <w:tcPr>
                        <w:tcW w:w="19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1620"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c>
                      <w:tcPr>
                        <w:tcW w:w="1251" w:type="dxa"/>
                        <w:noWrap w:val="0"/>
                        <w:vAlign w:val="center"/>
                      </w:tcPr>
                      <w:p>
                        <w:pPr>
                          <w:keepNext w:val="0"/>
                          <w:keepLines w:val="0"/>
                          <w:suppressLineNumbers w:val="0"/>
                          <w:snapToGrid w:val="0"/>
                          <w:spacing w:before="0" w:beforeAutospacing="0" w:after="0" w:afterAutospacing="0"/>
                          <w:ind w:left="0" w:leftChars="0" w:right="0" w:rightChars="0"/>
                          <w:jc w:val="center"/>
                          <w:rPr>
                            <w:rFonts w:hint="eastAsia"/>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85</w:t>
                        </w:r>
                      </w:p>
                    </w:tc>
                  </w:tr>
                </w:tbl>
                <w:p>
                  <w:pPr>
                    <w:adjustRightInd w:val="0"/>
                    <w:snapToGrid w:val="0"/>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2）废水：项目调浆用水全部进入产品，生活污水、设备清洗水、清洁废水依托江西恒顶食品有限公司污水处理站处理，达到江西丰城高新技术产业园区污水处理厂接管标准后排入江西丰城高新技术产业园区污水处理厂（二期）处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b/>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表</w:t>
                  </w:r>
                  <w:r>
                    <w:rPr>
                      <w:rFonts w:hint="eastAsia" w:ascii="Times New Roman" w:hAnsi="Times New Roman" w:cs="Times New Roman"/>
                      <w:b/>
                      <w:bCs w:val="0"/>
                      <w:color w:val="000000" w:themeColor="text1"/>
                      <w:kern w:val="2"/>
                      <w:sz w:val="18"/>
                      <w:szCs w:val="18"/>
                      <w:lang w:val="en-US" w:eastAsia="zh-CN" w:bidi="ar-SA"/>
                      <w14:textFill>
                        <w14:solidFill>
                          <w14:schemeClr w14:val="tx1"/>
                        </w14:solidFill>
                      </w14:textFill>
                    </w:rPr>
                    <w:t>1-</w:t>
                  </w:r>
                  <w:r>
                    <w:rPr>
                      <w:rFonts w:hint="eastAsia" w:cs="Times New Roman"/>
                      <w:b/>
                      <w:bCs w:val="0"/>
                      <w:color w:val="000000" w:themeColor="text1"/>
                      <w:kern w:val="2"/>
                      <w:sz w:val="18"/>
                      <w:szCs w:val="18"/>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 xml:space="preserve">  废水污染物排放标准摘录</w:t>
                  </w:r>
                  <w:r>
                    <w:rPr>
                      <w:rFonts w:hAnsi="宋体"/>
                      <w:b/>
                      <w:color w:val="000000" w:themeColor="text1"/>
                      <w:sz w:val="18"/>
                      <w:szCs w:val="18"/>
                      <w14:textFill>
                        <w14:solidFill>
                          <w14:schemeClr w14:val="tx1"/>
                        </w14:solidFill>
                      </w14:textFill>
                    </w:rPr>
                    <w:t>（日均值，单位：</w:t>
                  </w:r>
                  <w:r>
                    <w:rPr>
                      <w:b/>
                      <w:color w:val="000000" w:themeColor="text1"/>
                      <w:sz w:val="18"/>
                      <w:szCs w:val="18"/>
                      <w14:textFill>
                        <w14:solidFill>
                          <w14:schemeClr w14:val="tx1"/>
                        </w14:solidFill>
                      </w14:textFill>
                    </w:rPr>
                    <w:t>mg/l</w:t>
                  </w:r>
                  <w:r>
                    <w:rPr>
                      <w:rFonts w:hAnsi="宋体"/>
                      <w:b/>
                      <w:color w:val="000000" w:themeColor="text1"/>
                      <w:sz w:val="18"/>
                      <w:szCs w:val="18"/>
                      <w14:textFill>
                        <w14:solidFill>
                          <w14:schemeClr w14:val="tx1"/>
                        </w14:solidFill>
                      </w14:textFill>
                    </w:rPr>
                    <w:t>，</w:t>
                  </w:r>
                  <w:r>
                    <w:rPr>
                      <w:b/>
                      <w:color w:val="000000" w:themeColor="text1"/>
                      <w:sz w:val="18"/>
                      <w:szCs w:val="18"/>
                      <w14:textFill>
                        <w14:solidFill>
                          <w14:schemeClr w14:val="tx1"/>
                        </w14:solidFill>
                      </w14:textFill>
                    </w:rPr>
                    <w:t xml:space="preserve"> PH</w:t>
                  </w:r>
                  <w:r>
                    <w:rPr>
                      <w:rFonts w:hAnsi="宋体"/>
                      <w:b/>
                      <w:color w:val="000000" w:themeColor="text1"/>
                      <w:sz w:val="18"/>
                      <w:szCs w:val="18"/>
                      <w14:textFill>
                        <w14:solidFill>
                          <w14:schemeClr w14:val="tx1"/>
                        </w14:solidFill>
                      </w14:textFill>
                    </w:rPr>
                    <w:t>为无量纲）</w:t>
                  </w:r>
                </w:p>
                <w:tbl>
                  <w:tblPr>
                    <w:tblStyle w:val="32"/>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2"/>
                    <w:gridCol w:w="885"/>
                    <w:gridCol w:w="885"/>
                    <w:gridCol w:w="885"/>
                    <w:gridCol w:w="885"/>
                    <w:gridCol w:w="809"/>
                    <w:gridCol w:w="505"/>
                    <w:gridCol w:w="505"/>
                    <w:gridCol w:w="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1309" w:type="pct"/>
                        <w:tcBorders>
                          <w:top w:val="single" w:color="auto" w:sz="12" w:space="0"/>
                          <w:bottom w:val="double" w:color="auto" w:sz="4" w:space="0"/>
                          <w:tl2br w:val="single" w:color="auto" w:sz="4" w:space="0"/>
                        </w:tcBorders>
                        <w:noWrap w:val="0"/>
                        <w:vAlign w:val="center"/>
                      </w:tcPr>
                      <w:p>
                        <w:pPr>
                          <w:tabs>
                            <w:tab w:val="left" w:pos="3225"/>
                          </w:tabs>
                          <w:ind w:firstLine="1260" w:firstLineChars="600"/>
                          <w:jc w:val="both"/>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类别</w:t>
                        </w:r>
                      </w:p>
                      <w:p>
                        <w:pPr>
                          <w:tabs>
                            <w:tab w:val="left" w:pos="3225"/>
                          </w:tabs>
                          <w:jc w:val="both"/>
                          <w:rPr>
                            <w:rFonts w:hAnsi="宋体"/>
                            <w:color w:val="000000" w:themeColor="text1"/>
                            <w:szCs w:val="21"/>
                            <w14:textFill>
                              <w14:solidFill>
                                <w14:schemeClr w14:val="tx1"/>
                              </w14:solidFill>
                            </w14:textFill>
                          </w:rPr>
                        </w:pPr>
                      </w:p>
                      <w:p>
                        <w:pPr>
                          <w:tabs>
                            <w:tab w:val="left" w:pos="3225"/>
                          </w:tabs>
                          <w:jc w:val="both"/>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执行标准</w:t>
                        </w:r>
                      </w:p>
                    </w:tc>
                    <w:tc>
                      <w:tcPr>
                        <w:tcW w:w="554"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54" w:type="pct"/>
                        <w:tcBorders>
                          <w:bottom w:val="double" w:color="auto" w:sz="4" w:space="0"/>
                        </w:tcBorders>
                        <w:noWrap w:val="0"/>
                        <w:vAlign w:val="center"/>
                      </w:tcPr>
                      <w:p>
                        <w:pPr>
                          <w:tabs>
                            <w:tab w:val="left" w:pos="3225"/>
                          </w:tabs>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554"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554" w:type="pct"/>
                        <w:tcBorders>
                          <w:bottom w:val="double" w:color="auto" w:sz="4" w:space="0"/>
                        </w:tcBorders>
                        <w:noWrap w:val="0"/>
                        <w:vAlign w:val="center"/>
                      </w:tcPr>
                      <w:p>
                        <w:pPr>
                          <w:tabs>
                            <w:tab w:val="left" w:pos="3225"/>
                          </w:tabs>
                          <w:jc w:val="center"/>
                          <w:rPr>
                            <w:color w:val="000000" w:themeColor="text1"/>
                            <w14:textFill>
                              <w14:solidFill>
                                <w14:schemeClr w14:val="tx1"/>
                              </w14:solidFill>
                            </w14:textFill>
                          </w:rPr>
                        </w:pPr>
                        <w:r>
                          <w:rPr>
                            <w:color w:val="000000" w:themeColor="text1"/>
                            <w:szCs w:val="21"/>
                            <w14:textFill>
                              <w14:solidFill>
                                <w14:schemeClr w14:val="tx1"/>
                              </w14:solidFill>
                            </w14:textFill>
                          </w:rPr>
                          <w:t>SS</w:t>
                        </w:r>
                      </w:p>
                    </w:tc>
                    <w:tc>
                      <w:tcPr>
                        <w:tcW w:w="506"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316" w:type="pct"/>
                        <w:tcBorders>
                          <w:bottom w:val="double" w:color="auto" w:sz="4" w:space="0"/>
                        </w:tcBorders>
                        <w:noWrap w:val="0"/>
                        <w:vAlign w:val="center"/>
                      </w:tcPr>
                      <w:p>
                        <w:pPr>
                          <w:tabs>
                            <w:tab w:val="left" w:pos="3225"/>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TP</w:t>
                        </w:r>
                      </w:p>
                    </w:tc>
                    <w:tc>
                      <w:tcPr>
                        <w:tcW w:w="316" w:type="pct"/>
                        <w:tcBorders>
                          <w:bottom w:val="double" w:color="auto" w:sz="4"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TN</w:t>
                        </w:r>
                      </w:p>
                    </w:tc>
                    <w:tc>
                      <w:tcPr>
                        <w:tcW w:w="332" w:type="pct"/>
                        <w:tcBorders>
                          <w:bottom w:val="double" w:color="auto" w:sz="4" w:space="0"/>
                        </w:tcBorders>
                        <w:noWrap w:val="0"/>
                        <w:vAlign w:val="center"/>
                      </w:tcPr>
                      <w:p>
                        <w:pPr>
                          <w:tabs>
                            <w:tab w:val="left" w:pos="3225"/>
                          </w:tabs>
                          <w:jc w:val="both"/>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cantSplit/>
                      <w:trHeight w:val="85" w:hRule="atLeast"/>
                      <w:jc w:val="center"/>
                    </w:trPr>
                    <w:tc>
                      <w:tcPr>
                        <w:tcW w:w="1309" w:type="pct"/>
                        <w:tcBorders>
                          <w:top w:val="single" w:color="auto" w:sz="6" w:space="0"/>
                          <w:bottom w:val="single" w:color="auto" w:sz="6" w:space="0"/>
                        </w:tcBorders>
                        <w:noWrap w:val="0"/>
                        <w:vAlign w:val="center"/>
                      </w:tcPr>
                      <w:p>
                        <w:pPr>
                          <w:tabs>
                            <w:tab w:val="left" w:pos="3225"/>
                          </w:tabs>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江西丰城高新技术产业园区污水处理厂接管标准要求</w:t>
                        </w:r>
                      </w:p>
                    </w:tc>
                    <w:tc>
                      <w:tcPr>
                        <w:tcW w:w="554"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554"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54"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554"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506"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45</w:t>
                        </w:r>
                      </w:p>
                    </w:tc>
                    <w:tc>
                      <w:tcPr>
                        <w:tcW w:w="316"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316"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332" w:type="pct"/>
                        <w:tcBorders>
                          <w:top w:val="single" w:color="auto" w:sz="6" w:space="0"/>
                          <w:bottom w:val="single" w:color="auto" w:sz="6" w:space="0"/>
                        </w:tcBorders>
                        <w:noWrap w:val="0"/>
                        <w:vAlign w:val="center"/>
                      </w:tcPr>
                      <w:p>
                        <w:pPr>
                          <w:tabs>
                            <w:tab w:val="left" w:pos="3225"/>
                          </w:tabs>
                          <w:jc w:val="both"/>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厂界噪声：</w:t>
                  </w:r>
                  <w:r>
                    <w:rPr>
                      <w:rFonts w:hint="default"/>
                      <w:color w:val="000000" w:themeColor="text1"/>
                      <w:sz w:val="24"/>
                      <w:szCs w:val="24"/>
                      <w14:textFill>
                        <w14:solidFill>
                          <w14:schemeClr w14:val="tx1"/>
                        </w14:solidFill>
                      </w14:textFill>
                    </w:rPr>
                    <w:t>项目运营期厂界噪声执行《工业企业厂界环境噪声排放标准》（GB12348-2008）中3类区标准</w:t>
                  </w:r>
                  <w:r>
                    <w:rPr>
                      <w:rFonts w:hint="eastAsia"/>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具体标准值见</w:t>
                  </w:r>
                  <w:r>
                    <w:rPr>
                      <w:rFonts w:hint="eastAsia"/>
                      <w:color w:val="000000" w:themeColor="text1"/>
                      <w:sz w:val="24"/>
                      <w:szCs w:val="24"/>
                      <w14:textFill>
                        <w14:solidFill>
                          <w14:schemeClr w14:val="tx1"/>
                        </w14:solidFill>
                      </w14:textFill>
                    </w:rPr>
                    <w:t>下表</w:t>
                  </w:r>
                  <w:r>
                    <w:rPr>
                      <w:rFonts w:hint="default"/>
                      <w:color w:val="000000" w:themeColor="text1"/>
                      <w:sz w:val="24"/>
                      <w:szCs w:val="24"/>
                      <w:lang w:eastAsia="zh-CN"/>
                      <w14:textFill>
                        <w14:solidFill>
                          <w14:schemeClr w14:val="tx1"/>
                        </w14:solidFill>
                      </w14:textFill>
                    </w:rPr>
                    <w:t>。</w:t>
                  </w:r>
                </w:p>
                <w:p>
                  <w:pPr>
                    <w:pStyle w:val="112"/>
                    <w:numPr>
                      <w:ilvl w:val="0"/>
                      <w:numId w:val="0"/>
                    </w:numPr>
                    <w:snapToGrid w:val="0"/>
                    <w:spacing w:before="0" w:beforeLines="0"/>
                    <w:rPr>
                      <w:color w:val="000000" w:themeColor="text1"/>
                      <w14:textFill>
                        <w14:solidFill>
                          <w14:schemeClr w14:val="tx1"/>
                        </w14:solidFill>
                      </w14:textFill>
                    </w:rPr>
                  </w:pPr>
                  <w:r>
                    <w:rPr>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5</w:t>
                  </w:r>
                  <w:r>
                    <w:rPr>
                      <w:bCs w:val="0"/>
                      <w:color w:val="000000" w:themeColor="text1"/>
                      <w14:textFill>
                        <w14:solidFill>
                          <w14:schemeClr w14:val="tx1"/>
                        </w14:solidFill>
                      </w14:textFill>
                    </w:rPr>
                    <w:t xml:space="preserve"> </w:t>
                  </w:r>
                  <w:r>
                    <w:rPr>
                      <w:rFonts w:hint="default"/>
                      <w:bCs w:val="0"/>
                      <w:color w:val="000000" w:themeColor="text1"/>
                      <w14:textFill>
                        <w14:solidFill>
                          <w14:schemeClr w14:val="tx1"/>
                        </w14:solidFill>
                      </w14:textFill>
                    </w:rPr>
                    <w:t>工业企业厂界环境噪声排放标准表单位dB(A)</w:t>
                  </w:r>
                </w:p>
                <w:tbl>
                  <w:tblPr>
                    <w:tblStyle w:val="32"/>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84"/>
                    <w:gridCol w:w="876"/>
                    <w:gridCol w:w="1071"/>
                    <w:gridCol w:w="820"/>
                    <w:gridCol w:w="1878"/>
                    <w:gridCol w:w="2659"/>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blHeader/>
                      <w:jc w:val="center"/>
                    </w:trPr>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序号</w:t>
                        </w:r>
                      </w:p>
                    </w:tc>
                    <w:tc>
                      <w:tcPr>
                        <w:tcW w:w="548"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时期</w:t>
                        </w:r>
                      </w:p>
                    </w:tc>
                    <w:tc>
                      <w:tcPr>
                        <w:tcW w:w="670"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位置</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时段</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标准限值dB（A）</w:t>
                        </w:r>
                      </w:p>
                    </w:tc>
                    <w:tc>
                      <w:tcPr>
                        <w:tcW w:w="1664"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执行标准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lang w:val="en-US" w:eastAsia="zh-CN"/>
                            <w14:textFill>
                              <w14:solidFill>
                                <w14:schemeClr w14:val="tx1"/>
                              </w14:solidFill>
                            </w14:textFill>
                          </w:rPr>
                          <w:t>1</w:t>
                        </w:r>
                      </w:p>
                    </w:tc>
                    <w:tc>
                      <w:tcPr>
                        <w:tcW w:w="54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运营期</w:t>
                        </w:r>
                      </w:p>
                    </w:tc>
                    <w:tc>
                      <w:tcPr>
                        <w:tcW w:w="67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厂界</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昼间</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65</w:t>
                        </w:r>
                      </w:p>
                    </w:tc>
                    <w:tc>
                      <w:tcPr>
                        <w:tcW w:w="166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GB12348-2008中3类标准</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4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67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夜间</w:t>
                        </w:r>
                      </w:p>
                    </w:tc>
                    <w:tc>
                      <w:tcPr>
                        <w:tcW w:w="1175"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55</w:t>
                        </w:r>
                      </w:p>
                    </w:tc>
                    <w:tc>
                      <w:tcPr>
                        <w:tcW w:w="166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固体废物：</w:t>
                  </w:r>
                  <w:r>
                    <w:rPr>
                      <w:rFonts w:hint="eastAsia"/>
                      <w:color w:val="000000" w:themeColor="text1"/>
                      <w:kern w:val="18"/>
                      <w:sz w:val="24"/>
                      <w:szCs w:val="20"/>
                      <w:highlight w:val="none"/>
                      <w:shd w:val="clear" w:color="auto" w:fill="auto"/>
                      <w14:textFill>
                        <w14:solidFill>
                          <w14:schemeClr w14:val="tx1"/>
                        </w14:solidFill>
                      </w14:textFill>
                    </w:rPr>
                    <w:t>本项目运营期一般工业固体废物执行《一般工业固体废物贮存和填埋污染控制标准》(GB18599-2020)要求</w:t>
                  </w:r>
                  <w:r>
                    <w:rPr>
                      <w:rFonts w:hint="eastAsia"/>
                      <w:color w:val="000000" w:themeColor="text1"/>
                      <w:kern w:val="18"/>
                      <w:sz w:val="24"/>
                      <w:szCs w:val="20"/>
                      <w:highlight w:val="none"/>
                      <w:shd w:val="clear" w:color="auto" w:fill="auto"/>
                      <w:lang w:eastAsia="zh-CN"/>
                      <w14:textFill>
                        <w14:solidFill>
                          <w14:schemeClr w14:val="tx1"/>
                        </w14:solidFill>
                      </w14:textFill>
                    </w:rPr>
                    <w:t>；危险废物暂存应满足《危险废物贮存污染控制标准》（</w:t>
                  </w:r>
                  <w:r>
                    <w:rPr>
                      <w:rFonts w:hint="eastAsia"/>
                      <w:color w:val="000000" w:themeColor="text1"/>
                      <w:kern w:val="18"/>
                      <w:sz w:val="24"/>
                      <w:szCs w:val="20"/>
                      <w:highlight w:val="none"/>
                      <w:shd w:val="clear" w:color="auto" w:fill="auto"/>
                      <w:lang w:val="en-US" w:eastAsia="zh-CN"/>
                      <w14:textFill>
                        <w14:solidFill>
                          <w14:schemeClr w14:val="tx1"/>
                        </w14:solidFill>
                      </w14:textFill>
                    </w:rPr>
                    <w:t>GB18597-2023</w:t>
                  </w:r>
                  <w:r>
                    <w:rPr>
                      <w:rFonts w:hint="eastAsia"/>
                      <w:color w:val="000000" w:themeColor="text1"/>
                      <w:kern w:val="18"/>
                      <w:sz w:val="24"/>
                      <w:szCs w:val="20"/>
                      <w:highlight w:val="none"/>
                      <w:shd w:val="clear" w:color="auto" w:fill="auto"/>
                      <w:lang w:eastAsia="zh-CN"/>
                      <w14:textFill>
                        <w14:solidFill>
                          <w14:schemeClr w14:val="tx1"/>
                        </w14:solidFill>
                      </w14:textFill>
                    </w:rPr>
                    <w:t>）</w:t>
                  </w:r>
                  <w:r>
                    <w:rPr>
                      <w:rFonts w:hint="eastAsia"/>
                      <w:color w:val="000000" w:themeColor="text1"/>
                      <w:kern w:val="18"/>
                      <w:sz w:val="24"/>
                      <w:szCs w:val="20"/>
                      <w:highlight w:val="none"/>
                      <w:shd w:val="clear" w:color="auto" w:fill="auto"/>
                      <w14:textFill>
                        <w14:solidFill>
                          <w14:schemeClr w14:val="tx1"/>
                        </w14:solidFill>
                      </w14:textFill>
                    </w:rPr>
                    <w:t>。</w:t>
                  </w:r>
                </w:p>
              </w:tc>
            </w:tr>
          </w:tbl>
          <w:p>
            <w:pPr>
              <w:spacing w:line="360" w:lineRule="auto"/>
              <w:ind w:firstLine="480" w:firstLineChars="200"/>
              <w:jc w:val="left"/>
              <w:rPr>
                <w:color w:val="000000" w:themeColor="text1"/>
                <w:kern w:val="0"/>
                <w:sz w:val="24"/>
                <w:szCs w:val="24"/>
                <w14:textFill>
                  <w14:solidFill>
                    <w14:schemeClr w14:val="tx1"/>
                  </w14:solidFill>
                </w14:textFill>
              </w:rPr>
            </w:pPr>
          </w:p>
        </w:tc>
      </w:tr>
    </w:tbl>
    <w:p>
      <w:pPr>
        <w:bidi w:val="0"/>
        <w:rPr>
          <w:color w:val="000000" w:themeColor="text1"/>
          <w14:textFill>
            <w14:solidFill>
              <w14:schemeClr w14:val="tx1"/>
            </w14:solidFill>
          </w14:textFill>
        </w:rPr>
      </w:pPr>
      <w:bookmarkStart w:id="1" w:name="_Toc523906056"/>
    </w:p>
    <w:bookmarkEnd w:id="1"/>
    <w:p>
      <w:pPr>
        <w:bidi w:val="0"/>
        <w:rPr>
          <w:rFonts w:hint="eastAsia"/>
          <w:color w:val="000000" w:themeColor="text1"/>
          <w14:textFill>
            <w14:solidFill>
              <w14:schemeClr w14:val="tx1"/>
            </w14:solidFill>
          </w14:textFill>
        </w:rPr>
      </w:pPr>
    </w:p>
    <w:p>
      <w:pPr>
        <w:pStyle w:val="5"/>
        <w:rPr>
          <w:rFonts w:hint="default"/>
          <w:color w:val="000000" w:themeColor="text1"/>
          <w:vertAlign w:val="baseli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表二项目概况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9" w:hRule="atLeast"/>
        </w:trPr>
        <w:tc>
          <w:tcPr>
            <w:tcW w:w="9629" w:type="dxa"/>
          </w:tcPr>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2.1</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建设项目基本情况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江西谷邑丰食品科技有限公司位于江西省丰城市高新技术产业园，主要从事食品研发、生产、加工、销售。</w:t>
            </w:r>
            <w:r>
              <w:rPr>
                <w:rFonts w:hint="default" w:ascii="Times New Roman" w:hAnsi="Times New Roman" w:cs="Times New Roman"/>
                <w:color w:val="000000" w:themeColor="text1"/>
                <w:sz w:val="24"/>
                <w:szCs w:val="24"/>
                <w14:textFill>
                  <w14:solidFill>
                    <w14:schemeClr w14:val="tx1"/>
                  </w14:solidFill>
                </w14:textFill>
              </w:rPr>
              <w:t>占地面积</w:t>
            </w:r>
            <w:r>
              <w:rPr>
                <w:rFonts w:hint="default" w:ascii="Times New Roman" w:hAnsi="Times New Roman" w:cs="Times New Roman"/>
                <w:color w:val="000000" w:themeColor="text1"/>
                <w:sz w:val="24"/>
                <w:szCs w:val="24"/>
                <w:lang w:val="en-US" w:eastAsia="zh-CN"/>
                <w14:textFill>
                  <w14:solidFill>
                    <w14:schemeClr w14:val="tx1"/>
                  </w14:solidFill>
                </w14:textFill>
              </w:rPr>
              <w:t>32.5亩</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color w:val="000000" w:themeColor="text1"/>
                <w:sz w:val="24"/>
                <w:szCs w:val="24"/>
                <w14:textFill>
                  <w14:solidFill>
                    <w14:schemeClr w14:val="tx1"/>
                  </w14:solidFill>
                </w14:textFill>
              </w:rPr>
              <w:t>本项目</w:t>
            </w:r>
            <w:r>
              <w:rPr>
                <w:rFonts w:hint="eastAsia" w:ascii="Times New Roman"/>
                <w:color w:val="000000" w:themeColor="text1"/>
                <w:sz w:val="24"/>
                <w:szCs w:val="24"/>
                <w:lang w:val="en-US" w:eastAsia="zh-CN"/>
                <w14:textFill>
                  <w14:solidFill>
                    <w14:schemeClr w14:val="tx1"/>
                  </w14:solidFill>
                </w14:textFill>
              </w:rPr>
              <w:t>不分期，</w:t>
            </w:r>
            <w:r>
              <w:rPr>
                <w:rFonts w:hint="eastAsia" w:hAnsi="宋体" w:cs="Times New Roman"/>
                <w:color w:val="000000" w:themeColor="text1"/>
                <w:kern w:val="0"/>
                <w:sz w:val="24"/>
                <w:szCs w:val="24"/>
                <w:lang w:val="en-US" w:eastAsia="zh-CN" w:bidi="ar-SA"/>
                <w14:textFill>
                  <w14:solidFill>
                    <w14:schemeClr w14:val="tx1"/>
                  </w14:solidFill>
                </w14:textFill>
              </w:rPr>
              <w:t>项目投产后，可实现年产1万吨预糊化、膨化、益生菌发酵谷物粉</w:t>
            </w:r>
            <w:r>
              <w:rPr>
                <w:rFonts w:hint="eastAsia"/>
                <w:color w:val="000000" w:themeColor="text1"/>
                <w:sz w:val="24"/>
                <w:szCs w:val="24"/>
                <w:highlight w:val="none"/>
                <w:vertAlign w:val="baseline"/>
                <w:lang w:val="en-US" w:eastAsia="zh-CN"/>
                <w14:textFill>
                  <w14:solidFill>
                    <w14:schemeClr w14:val="tx1"/>
                  </w14:solidFill>
                </w14:textFill>
              </w:rPr>
              <w:t>。</w:t>
            </w:r>
          </w:p>
          <w:p>
            <w:pPr>
              <w:pStyle w:val="126"/>
              <w:keepNext w:val="0"/>
              <w:keepLines w:val="0"/>
              <w:pageBreakBefore w:val="0"/>
              <w:widowControl w:val="0"/>
              <w:kinsoku/>
              <w:wordWrap/>
              <w:overflowPunct/>
              <w:topLinePunct w:val="0"/>
              <w:autoSpaceDE/>
              <w:autoSpaceDN/>
              <w:bidi w:val="0"/>
              <w:spacing w:line="360" w:lineRule="auto"/>
              <w:ind w:firstLine="480"/>
              <w:textAlignment w:val="auto"/>
              <w:rPr>
                <w:rFonts w:hint="default" w:hAnsi="宋体"/>
                <w:color w:val="000000" w:themeColor="text1"/>
                <w:lang w:val="en-US"/>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202</w:t>
            </w:r>
            <w:r>
              <w:rPr>
                <w:rFonts w:hint="eastAsia" w:hAnsi="宋体" w:cs="Times New Roman"/>
                <w:color w:val="000000" w:themeColor="text1"/>
                <w:kern w:val="0"/>
                <w:sz w:val="24"/>
                <w:szCs w:val="24"/>
                <w:lang w:val="en-US" w:eastAsia="zh-CN" w:bidi="ar-SA"/>
                <w14:textFill>
                  <w14:solidFill>
                    <w14:schemeClr w14:val="tx1"/>
                  </w14:solidFill>
                </w14:textFill>
              </w:rPr>
              <w:t>1</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年</w:t>
            </w:r>
            <w:r>
              <w:rPr>
                <w:rFonts w:hint="eastAsia" w:hAnsi="宋体" w:cs="Times New Roman"/>
                <w:color w:val="000000" w:themeColor="text1"/>
                <w:kern w:val="0"/>
                <w:sz w:val="24"/>
                <w:szCs w:val="24"/>
                <w:lang w:val="en-US" w:eastAsia="zh-CN" w:bidi="ar-SA"/>
                <w14:textFill>
                  <w14:solidFill>
                    <w14:schemeClr w14:val="tx1"/>
                  </w14:solidFill>
                </w14:textFill>
              </w:rPr>
              <w:t>8</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月</w:t>
            </w:r>
            <w:r>
              <w:rPr>
                <w:rFonts w:hint="eastAsia" w:hAnsi="宋体" w:cs="Times New Roman"/>
                <w:color w:val="000000" w:themeColor="text1"/>
                <w:kern w:val="0"/>
                <w:sz w:val="24"/>
                <w:szCs w:val="24"/>
                <w:lang w:val="en-US" w:eastAsia="zh-CN" w:bidi="ar-SA"/>
                <w14:textFill>
                  <w14:solidFill>
                    <w14:schemeClr w14:val="tx1"/>
                  </w14:solidFill>
                </w14:textFill>
              </w:rPr>
              <w:t>20日</w:t>
            </w:r>
            <w:r>
              <w:rPr>
                <w:rFonts w:hint="eastAsia" w:hAnsi="宋体"/>
                <w:color w:val="000000" w:themeColor="text1"/>
                <w14:textFill>
                  <w14:solidFill>
                    <w14:schemeClr w14:val="tx1"/>
                  </w14:solidFill>
                </w14:textFill>
              </w:rPr>
              <w:t>，</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谷邑丰年产1万吨预糊化、膨化、益生菌发酵谷物粉生产线迁建项目</w:t>
            </w:r>
            <w:r>
              <w:rPr>
                <w:rFonts w:hint="eastAsia" w:hAnsi="宋体"/>
                <w:color w:val="000000" w:themeColor="text1"/>
                <w14:textFill>
                  <w14:solidFill>
                    <w14:schemeClr w14:val="tx1"/>
                  </w14:solidFill>
                </w14:textFill>
              </w:rPr>
              <w:t>获取</w:t>
            </w:r>
            <w:r>
              <w:rPr>
                <w:rFonts w:hint="eastAsia"/>
                <w:color w:val="000000" w:themeColor="text1"/>
                <w:szCs w:val="21"/>
                <w:lang w:eastAsia="zh-CN"/>
                <w14:textFill>
                  <w14:solidFill>
                    <w14:schemeClr w14:val="tx1"/>
                  </w14:solidFill>
                </w14:textFill>
              </w:rPr>
              <w:t>宜春市丰城生态环境局</w:t>
            </w:r>
            <w:r>
              <w:rPr>
                <w:rFonts w:hint="eastAsia" w:hAnsi="宋体"/>
                <w:color w:val="000000" w:themeColor="text1"/>
                <w14:textFill>
                  <w14:solidFill>
                    <w14:schemeClr w14:val="tx1"/>
                  </w14:solidFill>
                </w14:textFill>
              </w:rPr>
              <w:t>批复</w:t>
            </w:r>
            <w:r>
              <w:rPr>
                <w:rFonts w:hint="eastAsia" w:hAnsi="宋体"/>
                <w:color w:val="000000" w:themeColor="text1"/>
                <w:lang w:eastAsia="zh-CN"/>
                <w14:textFill>
                  <w14:solidFill>
                    <w14:schemeClr w14:val="tx1"/>
                  </w14:solidFill>
                </w14:textFill>
              </w:rPr>
              <w:t>《关于谷邑丰年产1万吨预糊化、膨化、益生菌发酵谷物粉生产线迁建项目环境影响报告表的批复》（</w:t>
            </w:r>
            <w:r>
              <w:rPr>
                <w:rFonts w:hint="eastAsia" w:hAnsi="宋体" w:cs="Times New Roman"/>
                <w:color w:val="000000" w:themeColor="text1"/>
                <w:kern w:val="0"/>
                <w:sz w:val="24"/>
                <w:szCs w:val="24"/>
                <w:lang w:val="en-US" w:eastAsia="zh-CN" w:bidi="ar-SA"/>
                <w14:textFill>
                  <w14:solidFill>
                    <w14:schemeClr w14:val="tx1"/>
                  </w14:solidFill>
                </w14:textFill>
              </w:rPr>
              <w:t>丰</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环评字〔202</w:t>
            </w:r>
            <w:r>
              <w:rPr>
                <w:rFonts w:hint="eastAsia" w:hAnsi="宋体" w:cs="Times New Roman"/>
                <w:color w:val="000000" w:themeColor="text1"/>
                <w:kern w:val="0"/>
                <w:sz w:val="24"/>
                <w:szCs w:val="24"/>
                <w:lang w:val="en-US" w:eastAsia="zh-CN" w:bidi="ar-SA"/>
                <w14:textFill>
                  <w14:solidFill>
                    <w14:schemeClr w14:val="tx1"/>
                  </w14:solidFill>
                </w14:textFill>
              </w:rPr>
              <w:t>1</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w:t>
            </w:r>
            <w:r>
              <w:rPr>
                <w:rFonts w:hint="eastAsia" w:hAnsi="宋体" w:cs="Times New Roman"/>
                <w:color w:val="000000" w:themeColor="text1"/>
                <w:kern w:val="0"/>
                <w:sz w:val="24"/>
                <w:szCs w:val="24"/>
                <w:lang w:val="en-US" w:eastAsia="zh-CN" w:bidi="ar-SA"/>
                <w14:textFill>
                  <w14:solidFill>
                    <w14:schemeClr w14:val="tx1"/>
                  </w14:solidFill>
                </w14:textFill>
              </w:rPr>
              <w:t>65</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号</w:t>
            </w:r>
            <w:r>
              <w:rPr>
                <w:rFonts w:hint="eastAsia" w:hAnsi="宋体"/>
                <w:color w:val="000000" w:themeColor="text1"/>
                <w:lang w:eastAsia="zh-CN"/>
                <w14:textFill>
                  <w14:solidFill>
                    <w14:schemeClr w14:val="tx1"/>
                  </w14:solidFill>
                </w14:textFill>
              </w:rPr>
              <w:t>）。</w:t>
            </w:r>
            <w:r>
              <w:rPr>
                <w:rFonts w:hint="eastAsia" w:hAnsi="宋体"/>
                <w:color w:val="000000" w:themeColor="text1"/>
                <w:lang w:val="en-US" w:eastAsia="zh-CN"/>
                <w14:textFill>
                  <w14:solidFill>
                    <w14:schemeClr w14:val="tx1"/>
                  </w14:solidFill>
                </w14:textFill>
              </w:rPr>
              <w:t>谷邑丰年产1万吨预糊化、膨化、益生菌发酵谷物粉生产线迁建项目</w:t>
            </w:r>
            <w:r>
              <w:rPr>
                <w:rFonts w:hint="eastAsia" w:hAnsi="宋体"/>
                <w:color w:val="000000" w:themeColor="text1"/>
                <w:lang w:eastAsia="zh-CN"/>
                <w14:textFill>
                  <w14:solidFill>
                    <w14:schemeClr w14:val="tx1"/>
                  </w14:solidFill>
                </w14:textFill>
              </w:rPr>
              <w:t>现</w:t>
            </w:r>
            <w:r>
              <w:rPr>
                <w:rFonts w:hint="eastAsia" w:hAnsi="宋体"/>
                <w:color w:val="000000" w:themeColor="text1"/>
                <w14:textFill>
                  <w14:solidFill>
                    <w14:schemeClr w14:val="tx1"/>
                  </w14:solidFill>
                </w14:textFill>
              </w:rPr>
              <w:t>已初步具备竣工环保验收监测条件</w:t>
            </w:r>
            <w:r>
              <w:rPr>
                <w:rFonts w:hint="eastAsia" w:hAnsi="宋体"/>
                <w:color w:val="000000" w:themeColor="text1"/>
                <w:lang w:eastAsia="zh-CN"/>
                <w14:textFill>
                  <w14:solidFill>
                    <w14:schemeClr w14:val="tx1"/>
                  </w14:solidFill>
                </w14:textFill>
              </w:rPr>
              <w:t>，达到年产1万吨预糊化、膨化、益生菌发酵谷物粉的生产能力</w:t>
            </w:r>
            <w:r>
              <w:rPr>
                <w:rFonts w:hint="eastAsia" w:hAnsi="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both"/>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2.2地理位置及平面布置</w:t>
            </w:r>
          </w:p>
          <w:p>
            <w:pPr>
              <w:keepNext w:val="0"/>
              <w:keepLines w:val="0"/>
              <w:pageBreakBefore w:val="0"/>
              <w:widowControl w:val="0"/>
              <w:tabs>
                <w:tab w:val="left" w:pos="3612"/>
              </w:tabs>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（1）地理位置</w:t>
            </w:r>
            <w:r>
              <w:rPr>
                <w:rFonts w:hint="eastAsia"/>
                <w:color w:val="000000" w:themeColor="text1"/>
                <w:sz w:val="24"/>
                <w:szCs w:val="24"/>
                <w:lang w:eastAsia="zh-CN"/>
                <w14:textFill>
                  <w14:solidFill>
                    <w14:schemeClr w14:val="tx1"/>
                  </w14:solidFill>
                </w14:textFill>
              </w:rPr>
              <w:tab/>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项目位于位于江西省丰城市高新技术产业园</w:t>
            </w:r>
            <w:r>
              <w:rPr>
                <w:rFonts w:hint="eastAsia" w:ascii="Times New Roman" w:hAnsi="Times New Roman" w:cs="Times New Roman"/>
                <w:bCs/>
                <w:color w:val="000000" w:themeColor="text1"/>
                <w:sz w:val="24"/>
                <w:szCs w:val="24"/>
                <w:lang w:val="en-US" w:eastAsia="zh-CN"/>
                <w14:textFill>
                  <w14:solidFill>
                    <w14:schemeClr w14:val="tx1"/>
                  </w14:solidFill>
                </w14:textFill>
              </w:rPr>
              <w:t>火炬四路</w:t>
            </w:r>
            <w:r>
              <w:rPr>
                <w:color w:val="000000" w:themeColor="text1"/>
                <w:sz w:val="24"/>
                <w:szCs w:val="24"/>
                <w14:textFill>
                  <w14:solidFill>
                    <w14:schemeClr w14:val="tx1"/>
                  </w14:solidFill>
                </w14:textFill>
              </w:rPr>
              <w:t>，用地中心坐标为E</w:t>
            </w:r>
            <w:r>
              <w:rPr>
                <w:rFonts w:hint="default" w:ascii="Times New Roman" w:hAnsi="Times New Roman" w:cs="Times New Roman"/>
                <w:color w:val="000000" w:themeColor="text1"/>
                <w:sz w:val="24"/>
                <w:szCs w:val="24"/>
                <w:lang w:eastAsia="zh-CN"/>
                <w14:textFill>
                  <w14:solidFill>
                    <w14:schemeClr w14:val="tx1"/>
                  </w14:solidFill>
                </w14:textFill>
              </w:rPr>
              <w:t>115°44′20.588″</w:t>
            </w:r>
            <w:r>
              <w:rPr>
                <w:color w:val="000000" w:themeColor="text1"/>
                <w:sz w:val="24"/>
                <w:szCs w:val="24"/>
                <w14:textFill>
                  <w14:solidFill>
                    <w14:schemeClr w14:val="tx1"/>
                  </w14:solidFill>
                </w14:textFill>
              </w:rPr>
              <w:t>，N</w:t>
            </w:r>
            <w:r>
              <w:rPr>
                <w:rFonts w:hint="default" w:ascii="Times New Roman" w:hAnsi="Times New Roman" w:cs="Times New Roman"/>
                <w:color w:val="000000" w:themeColor="text1"/>
                <w:sz w:val="24"/>
                <w:szCs w:val="24"/>
                <w:lang w:eastAsia="zh-CN"/>
                <w14:textFill>
                  <w14:solidFill>
                    <w14:schemeClr w14:val="tx1"/>
                  </w14:solidFill>
                </w14:textFill>
              </w:rPr>
              <w:t>28°11′47.57186″</w:t>
            </w:r>
            <w:r>
              <w:rPr>
                <w:color w:val="000000" w:themeColor="text1"/>
                <w:sz w:val="24"/>
                <w:szCs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（2）厂区平面布置</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该厂房北侧为1#厂房用于生产产品；该厂房南侧自西向东依次为3#宿舍用于员工生活，4#厂房备用，2#厂房备用；该厂房南侧为门卫用于办公。</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在满足消防、安全、卫生要求的前提下，总平面布局功能分明、工艺流程顺畅、运输及物流合理、生产管理方便，同时结构紧凑、最大限度节约空间，项目平面布置合理。</w:t>
            </w:r>
          </w:p>
          <w:p>
            <w:pPr>
              <w:adjustRightInd w:val="0"/>
              <w:snapToGrid w:val="0"/>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（3）环境保护目标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b/>
                <w:color w:val="000000" w:themeColor="text1"/>
                <w:sz w:val="18"/>
                <w:szCs w:val="18"/>
                <w14:textFill>
                  <w14:solidFill>
                    <w14:schemeClr w14:val="tx1"/>
                  </w14:solidFill>
                </w14:textFill>
              </w:rPr>
            </w:pPr>
            <w:r>
              <w:rPr>
                <w:color w:val="000000" w:themeColor="text1"/>
                <w:sz w:val="24"/>
                <w:highlight w:val="none"/>
                <w14:textFill>
                  <w14:solidFill>
                    <w14:schemeClr w14:val="tx1"/>
                  </w14:solidFill>
                </w14:textFill>
              </w:rPr>
              <w:t>根据现场踏勘情况，本项目厂界外500</w:t>
            </w:r>
            <w:r>
              <w:rPr>
                <w:rFonts w:hint="eastAsia"/>
                <w:color w:val="000000" w:themeColor="text1"/>
                <w:sz w:val="24"/>
                <w:highlight w:val="none"/>
                <w14:textFill>
                  <w14:solidFill>
                    <w14:schemeClr w14:val="tx1"/>
                  </w14:solidFill>
                </w14:textFill>
              </w:rPr>
              <w:t>m</w:t>
            </w:r>
            <w:r>
              <w:rPr>
                <w:color w:val="000000" w:themeColor="text1"/>
                <w:sz w:val="24"/>
                <w:highlight w:val="none"/>
                <w14:textFill>
                  <w14:solidFill>
                    <w14:schemeClr w14:val="tx1"/>
                  </w14:solidFill>
                </w14:textFill>
              </w:rPr>
              <w:t>范围内最近</w:t>
            </w:r>
            <w:r>
              <w:rPr>
                <w:rFonts w:hint="eastAsia"/>
                <w:color w:val="000000" w:themeColor="text1"/>
                <w:sz w:val="24"/>
                <w:highlight w:val="none"/>
                <w14:textFill>
                  <w14:solidFill>
                    <w14:schemeClr w14:val="tx1"/>
                  </w14:solidFill>
                </w14:textFill>
              </w:rPr>
              <w:t>大气环境保护目标</w:t>
            </w:r>
            <w:r>
              <w:rPr>
                <w:color w:val="000000" w:themeColor="text1"/>
                <w:sz w:val="24"/>
                <w:highlight w:val="none"/>
                <w14:textFill>
                  <w14:solidFill>
                    <w14:schemeClr w14:val="tx1"/>
                  </w14:solidFill>
                </w14:textFill>
              </w:rPr>
              <w:t>为</w:t>
            </w:r>
            <w:r>
              <w:rPr>
                <w:rFonts w:hint="eastAsia"/>
                <w:color w:val="000000" w:themeColor="text1"/>
                <w:sz w:val="24"/>
                <w:highlight w:val="none"/>
                <w14:textFill>
                  <w14:solidFill>
                    <w14:schemeClr w14:val="tx1"/>
                  </w14:solidFill>
                </w14:textFill>
              </w:rPr>
              <w:t>厂区</w:t>
            </w:r>
            <w:r>
              <w:rPr>
                <w:rFonts w:hint="eastAsia"/>
                <w:color w:val="000000" w:themeColor="text1"/>
                <w:sz w:val="24"/>
                <w:highlight w:val="none"/>
                <w:lang w:val="en-US" w:eastAsia="zh-CN"/>
                <w14:textFill>
                  <w14:solidFill>
                    <w14:schemeClr w14:val="tx1"/>
                  </w14:solidFill>
                </w14:textFill>
              </w:rPr>
              <w:t>西北364</w:t>
            </w:r>
            <w:r>
              <w:rPr>
                <w:color w:val="000000" w:themeColor="text1"/>
                <w:sz w:val="24"/>
                <w:highlight w:val="none"/>
                <w14:textFill>
                  <w14:solidFill>
                    <w14:schemeClr w14:val="tx1"/>
                  </w14:solidFill>
                </w14:textFill>
              </w:rPr>
              <w:t>m的</w:t>
            </w:r>
            <w:r>
              <w:rPr>
                <w:rFonts w:hint="eastAsia"/>
                <w:color w:val="000000" w:themeColor="text1"/>
                <w:sz w:val="24"/>
                <w:highlight w:val="none"/>
                <w:lang w:val="en-US" w:eastAsia="zh-CN"/>
                <w14:textFill>
                  <w14:solidFill>
                    <w14:schemeClr w14:val="tx1"/>
                  </w14:solidFill>
                </w14:textFill>
              </w:rPr>
              <w:t>香角村</w:t>
            </w:r>
            <w:r>
              <w:rPr>
                <w:rFonts w:hint="eastAsia"/>
                <w:color w:val="000000" w:themeColor="text1"/>
                <w:sz w:val="24"/>
                <w:highlight w:val="none"/>
                <w14:textFill>
                  <w14:solidFill>
                    <w14:schemeClr w14:val="tx1"/>
                  </w14:solidFill>
                </w14:textFill>
              </w:rPr>
              <w:t>（居住区，约</w:t>
            </w:r>
            <w:r>
              <w:rPr>
                <w:rFonts w:hint="eastAsia"/>
                <w:color w:val="000000" w:themeColor="text1"/>
                <w:sz w:val="24"/>
                <w:highlight w:val="none"/>
                <w:lang w:val="en-US" w:eastAsia="zh-CN"/>
                <w14:textFill>
                  <w14:solidFill>
                    <w14:schemeClr w14:val="tx1"/>
                  </w14:solidFill>
                </w14:textFill>
              </w:rPr>
              <w:t>3100</w:t>
            </w:r>
            <w:r>
              <w:rPr>
                <w:rFonts w:hint="eastAsia"/>
                <w:color w:val="000000" w:themeColor="text1"/>
                <w:sz w:val="24"/>
                <w:highlight w:val="none"/>
                <w14:textFill>
                  <w14:solidFill>
                    <w14:schemeClr w14:val="tx1"/>
                  </w14:solidFill>
                </w14:textFill>
              </w:rPr>
              <w:t>人，环境空气二类区）</w:t>
            </w:r>
            <w:r>
              <w:rPr>
                <w:color w:val="000000" w:themeColor="text1"/>
                <w:sz w:val="24"/>
                <w:szCs w:val="24"/>
                <w14:textFill>
                  <w14:solidFill>
                    <w14:schemeClr w14:val="tx1"/>
                  </w14:solidFill>
                </w14:textFill>
              </w:rPr>
              <w:t>该项目</w:t>
            </w:r>
            <w:r>
              <w:rPr>
                <w:rFonts w:hint="eastAsia"/>
                <w:color w:val="000000" w:themeColor="text1"/>
                <w:sz w:val="24"/>
                <w:szCs w:val="24"/>
                <w14:textFill>
                  <w14:solidFill>
                    <w14:schemeClr w14:val="tx1"/>
                  </w14:solidFill>
                </w14:textFill>
              </w:rPr>
              <w:t>环境保护</w:t>
            </w:r>
            <w:r>
              <w:rPr>
                <w:color w:val="000000" w:themeColor="text1"/>
                <w:sz w:val="24"/>
                <w:szCs w:val="24"/>
                <w14:textFill>
                  <w14:solidFill>
                    <w14:schemeClr w14:val="tx1"/>
                  </w14:solidFill>
                </w14:textFill>
              </w:rPr>
              <w:t>目标</w:t>
            </w:r>
            <w:r>
              <w:rPr>
                <w:rFonts w:hint="eastAsia"/>
                <w:color w:val="000000" w:themeColor="text1"/>
                <w:sz w:val="24"/>
                <w:szCs w:val="24"/>
                <w14:textFill>
                  <w14:solidFill>
                    <w14:schemeClr w14:val="tx1"/>
                  </w14:solidFill>
                </w14:textFill>
              </w:rPr>
              <w:t>如下表所示</w:t>
            </w:r>
            <w:r>
              <w:rPr>
                <w:color w:val="000000" w:themeColor="text1"/>
                <w:sz w:val="24"/>
                <w:szCs w:val="24"/>
                <w14:textFill>
                  <w14:solidFill>
                    <w14:schemeClr w14:val="tx1"/>
                  </w14:solidFill>
                </w14:textFill>
              </w:rPr>
              <w:t>。</w:t>
            </w:r>
          </w:p>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表2-1环境保护目标</w:t>
            </w:r>
          </w:p>
          <w:tbl>
            <w:tblPr>
              <w:tblStyle w:val="3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114"/>
              <w:gridCol w:w="1102"/>
              <w:gridCol w:w="1187"/>
              <w:gridCol w:w="843"/>
              <w:gridCol w:w="736"/>
              <w:gridCol w:w="862"/>
              <w:gridCol w:w="2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3" w:hRule="exact"/>
                <w:jc w:val="center"/>
              </w:trPr>
              <w:tc>
                <w:tcPr>
                  <w:tcW w:w="592"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类别</w:t>
                  </w:r>
                </w:p>
              </w:tc>
              <w:tc>
                <w:tcPr>
                  <w:tcW w:w="592"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保护目标</w:t>
                  </w:r>
                </w:p>
              </w:tc>
              <w:tc>
                <w:tcPr>
                  <w:tcW w:w="1217" w:type="pct"/>
                  <w:gridSpan w:val="2"/>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坐标</w:t>
                  </w:r>
                  <w:r>
                    <w:rPr>
                      <w:rFonts w:hint="eastAsia"/>
                      <w:color w:val="000000" w:themeColor="text1"/>
                      <w:szCs w:val="21"/>
                      <w:highlight w:val="none"/>
                      <w14:textFill>
                        <w14:solidFill>
                          <w14:schemeClr w14:val="tx1"/>
                        </w14:solidFill>
                      </w14:textFill>
                    </w:rPr>
                    <w:t>以厂区中心点地理坐标</w:t>
                  </w:r>
                  <w:r>
                    <w:rPr>
                      <w:rFonts w:hint="eastAsia"/>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E115°51′</w:t>
                  </w:r>
                  <w:r>
                    <w:rPr>
                      <w:rFonts w:hint="eastAsia" w:ascii="Times New Roman" w:hAnsi="Times New Roman" w:cs="Times New Roman"/>
                      <w:color w:val="000000" w:themeColor="text1"/>
                      <w:szCs w:val="21"/>
                      <w:highlight w:val="none"/>
                      <w:lang w:val="en-US" w:eastAsia="zh-CN"/>
                      <w14:textFill>
                        <w14:solidFill>
                          <w14:schemeClr w14:val="tx1"/>
                        </w14:solidFill>
                      </w14:textFill>
                    </w:rPr>
                    <w:t>51.126</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N</w:t>
                  </w:r>
                  <w:r>
                    <w:rPr>
                      <w:rFonts w:hint="default" w:ascii="Times New Roman" w:hAnsi="Times New Roman" w:cs="Times New Roman"/>
                      <w:color w:val="000000" w:themeColor="text1"/>
                      <w:szCs w:val="21"/>
                      <w:highlight w:val="none"/>
                      <w:lang w:val="en-US" w:eastAsia="zh-CN"/>
                      <w14:textFill>
                        <w14:solidFill>
                          <w14:schemeClr w14:val="tx1"/>
                        </w14:solidFill>
                      </w14:textFill>
                    </w:rPr>
                    <w:t>28°33′</w:t>
                  </w:r>
                  <w:r>
                    <w:rPr>
                      <w:rFonts w:hint="eastAsia" w:ascii="Times New Roman" w:hAnsi="Times New Roman" w:cs="Times New Roman"/>
                      <w:color w:val="000000" w:themeColor="text1"/>
                      <w:szCs w:val="21"/>
                      <w:highlight w:val="none"/>
                      <w:lang w:val="en-US" w:eastAsia="zh-CN"/>
                      <w14:textFill>
                        <w14:solidFill>
                          <w14:schemeClr w14:val="tx1"/>
                        </w14:solidFill>
                      </w14:textFill>
                    </w:rPr>
                    <w:t>14.368</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r>
                    <w:rPr>
                      <w:rFonts w:hint="eastAsia"/>
                      <w:color w:val="000000" w:themeColor="text1"/>
                      <w:szCs w:val="21"/>
                      <w:highlight w:val="none"/>
                      <w:lang w:eastAsia="zh-CN"/>
                      <w14:textFill>
                        <w14:solidFill>
                          <w14:schemeClr w14:val="tx1"/>
                        </w14:solidFill>
                      </w14:textFill>
                    </w:rPr>
                    <w:t>）</w:t>
                  </w:r>
                  <w:r>
                    <w:rPr>
                      <w:rFonts w:hAnsi="宋体"/>
                      <w:color w:val="000000" w:themeColor="text1"/>
                      <w:szCs w:val="21"/>
                      <w14:textFill>
                        <w14:solidFill>
                          <w14:schemeClr w14:val="tx1"/>
                        </w14:solidFill>
                      </w14:textFill>
                    </w:rPr>
                    <w:t>）</w:t>
                  </w:r>
                </w:p>
              </w:tc>
              <w:tc>
                <w:tcPr>
                  <w:tcW w:w="448"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人口</w:t>
                  </w:r>
                </w:p>
              </w:tc>
              <w:tc>
                <w:tcPr>
                  <w:tcW w:w="391"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方位</w:t>
                  </w:r>
                </w:p>
              </w:tc>
              <w:tc>
                <w:tcPr>
                  <w:tcW w:w="457"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距离</w:t>
                  </w:r>
                </w:p>
              </w:tc>
              <w:tc>
                <w:tcPr>
                  <w:tcW w:w="1301"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92" w:type="pct"/>
                  <w:vMerge w:val="continue"/>
                  <w:noWrap w:val="0"/>
                  <w:vAlign w:val="center"/>
                </w:tcPr>
                <w:p>
                  <w:pPr>
                    <w:jc w:val="center"/>
                    <w:rPr>
                      <w:color w:val="000000" w:themeColor="text1"/>
                      <w:szCs w:val="21"/>
                      <w14:textFill>
                        <w14:solidFill>
                          <w14:schemeClr w14:val="tx1"/>
                        </w14:solidFill>
                      </w14:textFill>
                    </w:rPr>
                  </w:pPr>
                </w:p>
              </w:tc>
              <w:tc>
                <w:tcPr>
                  <w:tcW w:w="592" w:type="pct"/>
                  <w:vMerge w:val="continue"/>
                  <w:noWrap w:val="0"/>
                  <w:vAlign w:val="center"/>
                </w:tcPr>
                <w:p>
                  <w:pPr>
                    <w:jc w:val="center"/>
                    <w:rPr>
                      <w:color w:val="000000" w:themeColor="text1"/>
                      <w:szCs w:val="21"/>
                      <w14:textFill>
                        <w14:solidFill>
                          <w14:schemeClr w14:val="tx1"/>
                        </w14:solidFill>
                      </w14:textFill>
                    </w:rPr>
                  </w:pPr>
                </w:p>
              </w:tc>
              <w:tc>
                <w:tcPr>
                  <w:tcW w:w="586"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630"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448" w:type="pct"/>
                  <w:vMerge w:val="continue"/>
                  <w:noWrap w:val="0"/>
                  <w:vAlign w:val="center"/>
                </w:tcPr>
                <w:p>
                  <w:pPr>
                    <w:jc w:val="center"/>
                    <w:rPr>
                      <w:color w:val="000000" w:themeColor="text1"/>
                      <w:szCs w:val="21"/>
                      <w14:textFill>
                        <w14:solidFill>
                          <w14:schemeClr w14:val="tx1"/>
                        </w14:solidFill>
                      </w14:textFill>
                    </w:rPr>
                  </w:pPr>
                </w:p>
              </w:tc>
              <w:tc>
                <w:tcPr>
                  <w:tcW w:w="391" w:type="pct"/>
                  <w:vMerge w:val="continue"/>
                  <w:noWrap w:val="0"/>
                  <w:vAlign w:val="center"/>
                </w:tcPr>
                <w:p>
                  <w:pPr>
                    <w:jc w:val="center"/>
                    <w:rPr>
                      <w:color w:val="000000" w:themeColor="text1"/>
                      <w:szCs w:val="21"/>
                      <w14:textFill>
                        <w14:solidFill>
                          <w14:schemeClr w14:val="tx1"/>
                        </w14:solidFill>
                      </w14:textFill>
                    </w:rPr>
                  </w:pPr>
                </w:p>
              </w:tc>
              <w:tc>
                <w:tcPr>
                  <w:tcW w:w="457" w:type="pct"/>
                  <w:vMerge w:val="continue"/>
                  <w:noWrap w:val="0"/>
                  <w:vAlign w:val="center"/>
                </w:tcPr>
                <w:p>
                  <w:pPr>
                    <w:jc w:val="center"/>
                    <w:rPr>
                      <w:color w:val="000000" w:themeColor="text1"/>
                      <w:szCs w:val="21"/>
                      <w14:textFill>
                        <w14:solidFill>
                          <w14:schemeClr w14:val="tx1"/>
                        </w14:solidFill>
                      </w14:textFill>
                    </w:rPr>
                  </w:pPr>
                </w:p>
              </w:tc>
              <w:tc>
                <w:tcPr>
                  <w:tcW w:w="1301" w:type="pct"/>
                  <w:vMerge w:val="continue"/>
                  <w:noWrap w:val="0"/>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exact"/>
                <w:jc w:val="center"/>
              </w:trPr>
              <w:tc>
                <w:tcPr>
                  <w:tcW w:w="592" w:type="pct"/>
                  <w:vMerge w:val="restart"/>
                  <w:noWrap w:val="0"/>
                  <w:vAlign w:val="center"/>
                </w:tcPr>
                <w:p>
                  <w:pPr>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大气环境</w:t>
                  </w:r>
                </w:p>
              </w:tc>
              <w:tc>
                <w:tcPr>
                  <w:tcW w:w="1114" w:type="dxa"/>
                  <w:noWrap w:val="0"/>
                  <w:vAlign w:val="center"/>
                </w:tcPr>
                <w:p>
                  <w:pPr>
                    <w:keepNext w:val="0"/>
                    <w:keepLines w:val="0"/>
                    <w:suppressLineNumbers w:val="0"/>
                    <w:snapToGrid w:val="0"/>
                    <w:spacing w:before="0" w:beforeAutospacing="0" w:after="0" w:afterAutospacing="0"/>
                    <w:ind w:left="0" w:leftChars="0" w:right="0" w:rightChars="0"/>
                    <w:jc w:val="center"/>
                    <w:rPr>
                      <w:color w:val="000000" w:themeColor="text1"/>
                      <w:szCs w:val="21"/>
                      <w14:textFill>
                        <w14:solidFill>
                          <w14:schemeClr w14:val="tx1"/>
                        </w14:solidFill>
                      </w14:textFill>
                    </w:rPr>
                  </w:pPr>
                  <w:r>
                    <w:rPr>
                      <w:rFonts w:hint="default" w:ascii="Times New Roman"/>
                      <w:color w:val="000000" w:themeColor="text1"/>
                      <w:spacing w:val="-6"/>
                      <w:sz w:val="21"/>
                      <w:szCs w:val="21"/>
                      <w14:textFill>
                        <w14:solidFill>
                          <w14:schemeClr w14:val="tx1"/>
                        </w14:solidFill>
                      </w14:textFill>
                    </w:rPr>
                    <w:t>香角村</w:t>
                  </w:r>
                </w:p>
              </w:tc>
              <w:tc>
                <w:tcPr>
                  <w:tcW w:w="11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SA"/>
                      <w14:textFill>
                        <w14:solidFill>
                          <w14:schemeClr w14:val="tx1"/>
                        </w14:solidFill>
                      </w14:textFill>
                    </w:rPr>
                    <w:t>-146</w:t>
                  </w:r>
                </w:p>
              </w:tc>
              <w:tc>
                <w:tcPr>
                  <w:tcW w:w="1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SA"/>
                      <w14:textFill>
                        <w14:solidFill>
                          <w14:schemeClr w14:val="tx1"/>
                        </w14:solidFill>
                      </w14:textFill>
                    </w:rPr>
                    <w:t>454</w:t>
                  </w:r>
                </w:p>
              </w:tc>
              <w:tc>
                <w:tcPr>
                  <w:tcW w:w="448" w:type="pct"/>
                  <w:noWrap w:val="0"/>
                  <w:vAlign w:val="center"/>
                </w:tcPr>
                <w:p>
                  <w:pPr>
                    <w:jc w:val="center"/>
                    <w:rPr>
                      <w:color w:val="000000" w:themeColor="text1"/>
                      <w:szCs w:val="21"/>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3100</w:t>
                  </w:r>
                  <w:r>
                    <w:rPr>
                      <w:rFonts w:hint="default"/>
                      <w:bCs/>
                      <w:color w:val="000000" w:themeColor="text1"/>
                      <w:sz w:val="21"/>
                      <w:szCs w:val="21"/>
                      <w:highlight w:val="none"/>
                      <w14:textFill>
                        <w14:solidFill>
                          <w14:schemeClr w14:val="tx1"/>
                        </w14:solidFill>
                      </w14:textFill>
                    </w:rPr>
                    <w:t>人</w:t>
                  </w:r>
                </w:p>
              </w:tc>
              <w:tc>
                <w:tcPr>
                  <w:tcW w:w="73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NW</w:t>
                  </w:r>
                </w:p>
              </w:tc>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364</w:t>
                  </w:r>
                </w:p>
              </w:tc>
              <w:tc>
                <w:tcPr>
                  <w:tcW w:w="2447" w:type="dxa"/>
                  <w:vMerge w:val="restart"/>
                  <w:noWrap w:val="0"/>
                  <w:vAlign w:val="center"/>
                </w:tcPr>
                <w:p>
                  <w:pPr>
                    <w:pStyle w:val="92"/>
                    <w:widowControl w:val="0"/>
                    <w:adjustRightInd w:val="0"/>
                    <w:snapToGrid w:val="0"/>
                    <w:rPr>
                      <w:rFonts w:hint="eastAsia" w:eastAsia="宋体"/>
                      <w:color w:val="000000" w:themeColor="text1"/>
                      <w:szCs w:val="21"/>
                      <w:lang w:eastAsia="zh-CN"/>
                      <w14:textFill>
                        <w14:solidFill>
                          <w14:schemeClr w14:val="tx1"/>
                        </w14:solidFill>
                      </w14:textFill>
                    </w:rPr>
                  </w:pPr>
                  <w:r>
                    <w:rPr>
                      <w:color w:val="000000" w:themeColor="text1"/>
                      <w:sz w:val="21"/>
                      <w:szCs w:val="21"/>
                      <w14:textFill>
                        <w14:solidFill>
                          <w14:schemeClr w14:val="tx1"/>
                        </w14:solidFill>
                      </w14:textFill>
                    </w:rPr>
                    <w:t>《环境空气质量标准》</w:t>
                  </w:r>
                  <w:r>
                    <w:rPr>
                      <w:rFonts w:hint="eastAsia"/>
                      <w:color w:val="000000" w:themeColor="text1"/>
                      <w:sz w:val="21"/>
                      <w:szCs w:val="21"/>
                      <w14:textFill>
                        <w14:solidFill>
                          <w14:schemeClr w14:val="tx1"/>
                        </w14:solidFill>
                      </w14:textFill>
                    </w:rPr>
                    <w:t>（GB3095-2012）</w:t>
                  </w:r>
                  <w:r>
                    <w:rPr>
                      <w:rFonts w:hint="eastAsia"/>
                      <w:color w:val="000000" w:themeColor="text1"/>
                      <w:sz w:val="21"/>
                      <w:szCs w:val="21"/>
                      <w:lang w:eastAsia="zh-CN"/>
                      <w14:textFill>
                        <w14:solidFill>
                          <w14:schemeClr w14:val="tx1"/>
                        </w14:solidFill>
                      </w14:textFill>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592" w:type="pct"/>
                  <w:vMerge w:val="continue"/>
                  <w:noWrap w:val="0"/>
                  <w:vAlign w:val="center"/>
                </w:tcPr>
                <w:p>
                  <w:pPr>
                    <w:jc w:val="center"/>
                    <w:rPr>
                      <w:color w:val="000000" w:themeColor="text1"/>
                      <w:szCs w:val="21"/>
                      <w14:textFill>
                        <w14:solidFill>
                          <w14:schemeClr w14:val="tx1"/>
                        </w14:solidFill>
                      </w14:textFill>
                    </w:rPr>
                  </w:pPr>
                </w:p>
              </w:tc>
              <w:tc>
                <w:tcPr>
                  <w:tcW w:w="11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望城岗</w:t>
                  </w:r>
                </w:p>
              </w:tc>
              <w:tc>
                <w:tcPr>
                  <w:tcW w:w="11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SA"/>
                      <w14:textFill>
                        <w14:solidFill>
                          <w14:schemeClr w14:val="tx1"/>
                        </w14:solidFill>
                      </w14:textFill>
                    </w:rPr>
                    <w:t>442</w:t>
                  </w:r>
                </w:p>
              </w:tc>
              <w:tc>
                <w:tcPr>
                  <w:tcW w:w="118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1"/>
                      <w:sz w:val="21"/>
                      <w:szCs w:val="21"/>
                      <w:lang w:val="en-US" w:eastAsia="zh-CN" w:bidi="ar-SA"/>
                      <w14:textFill>
                        <w14:solidFill>
                          <w14:schemeClr w14:val="tx1"/>
                        </w14:solidFill>
                      </w14:textFill>
                    </w:rPr>
                    <w:t>758</w:t>
                  </w:r>
                </w:p>
              </w:tc>
              <w:tc>
                <w:tcPr>
                  <w:tcW w:w="448" w:type="pct"/>
                  <w:noWrap w:val="0"/>
                  <w:vAlign w:val="center"/>
                </w:tcPr>
                <w:p>
                  <w:pPr>
                    <w:jc w:val="center"/>
                    <w:rPr>
                      <w:color w:val="000000" w:themeColor="text1"/>
                      <w:szCs w:val="21"/>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430人</w:t>
                  </w:r>
                </w:p>
              </w:tc>
              <w:tc>
                <w:tcPr>
                  <w:tcW w:w="73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N</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E</w:t>
                  </w:r>
                </w:p>
              </w:tc>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413</w:t>
                  </w:r>
                </w:p>
              </w:tc>
              <w:tc>
                <w:tcPr>
                  <w:tcW w:w="1301" w:type="pct"/>
                  <w:vMerge w:val="continue"/>
                  <w:noWrap w:val="0"/>
                  <w:vAlign w:val="center"/>
                </w:tcPr>
                <w:p>
                  <w:pPr>
                    <w:jc w:val="center"/>
                    <w:rPr>
                      <w:bCs/>
                      <w:color w:val="000000" w:themeColor="text1"/>
                      <w:spacing w:val="-1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592" w:type="pct"/>
                  <w:noWrap w:val="0"/>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14:textFill>
                        <w14:solidFill>
                          <w14:schemeClr w14:val="tx1"/>
                        </w14:solidFill>
                      </w14:textFill>
                    </w:rPr>
                    <w:t>地表水</w:t>
                  </w:r>
                  <w:r>
                    <w:rPr>
                      <w:rFonts w:hint="eastAsia"/>
                      <w:color w:val="000000" w:themeColor="text1"/>
                      <w:lang w:eastAsia="zh-CN"/>
                      <w14:textFill>
                        <w14:solidFill>
                          <w14:schemeClr w14:val="tx1"/>
                        </w14:solidFill>
                      </w14:textFill>
                    </w:rPr>
                    <w:t>环境</w:t>
                  </w:r>
                </w:p>
              </w:tc>
              <w:tc>
                <w:tcPr>
                  <w:tcW w:w="1809" w:type="pct"/>
                  <w:gridSpan w:val="3"/>
                  <w:noWrap w:val="0"/>
                  <w:vAlign w:val="center"/>
                </w:tcPr>
                <w:p>
                  <w:pPr>
                    <w:pStyle w:val="130"/>
                    <w:keepNext w:val="0"/>
                    <w:keepLines w:val="0"/>
                    <w:pageBreakBefore w:val="0"/>
                    <w:widowControl w:val="0"/>
                    <w:kinsoku/>
                    <w:wordWrap/>
                    <w:overflowPunct/>
                    <w:topLinePunct w:val="0"/>
                    <w:autoSpaceDE/>
                    <w:autoSpaceDN/>
                    <w:bidi w:val="0"/>
                    <w:adjustRightInd/>
                    <w:snapToGrid/>
                    <w:ind w:left="0" w:leftChars="0" w:right="0" w:rightChars="0"/>
                    <w:textAlignment w:val="auto"/>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赣江</w:t>
                  </w:r>
                </w:p>
              </w:tc>
              <w:tc>
                <w:tcPr>
                  <w:tcW w:w="448" w:type="pct"/>
                  <w:noWrap w:val="0"/>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w:t>
                  </w:r>
                </w:p>
              </w:tc>
              <w:tc>
                <w:tcPr>
                  <w:tcW w:w="73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Ansi="宋体"/>
                      <w:color w:val="000000" w:themeColor="text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S</w:t>
                  </w:r>
                </w:p>
              </w:tc>
              <w:tc>
                <w:tcPr>
                  <w:tcW w:w="86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369</w:t>
                  </w:r>
                </w:p>
              </w:tc>
              <w:tc>
                <w:tcPr>
                  <w:tcW w:w="2447" w:type="dxa"/>
                  <w:noWrap w:val="0"/>
                  <w:vAlign w:val="center"/>
                </w:tcPr>
                <w:p>
                  <w:pPr>
                    <w:pStyle w:val="92"/>
                    <w:widowControl w:val="0"/>
                    <w:adjustRightInd w:val="0"/>
                    <w:snapToGrid w:val="0"/>
                    <w:rPr>
                      <w:bCs/>
                      <w:color w:val="000000" w:themeColor="text1"/>
                      <w:spacing w:val="-14"/>
                      <w:szCs w:val="21"/>
                      <w14:textFill>
                        <w14:solidFill>
                          <w14:schemeClr w14:val="tx1"/>
                        </w14:solidFill>
                      </w14:textFill>
                    </w:rPr>
                  </w:pPr>
                  <w:r>
                    <w:rPr>
                      <w:color w:val="000000" w:themeColor="text1"/>
                      <w:sz w:val="21"/>
                      <w:szCs w:val="21"/>
                      <w14:textFill>
                        <w14:solidFill>
                          <w14:schemeClr w14:val="tx1"/>
                        </w14:solidFill>
                      </w14:textFill>
                    </w:rPr>
                    <w:t>《地表水环境质量标准》</w:t>
                  </w:r>
                  <w:r>
                    <w:rPr>
                      <w:rFonts w:hint="eastAsia"/>
                      <w:color w:val="000000" w:themeColor="text1"/>
                      <w:sz w:val="21"/>
                      <w:szCs w:val="21"/>
                      <w:lang w:val="en-US" w:eastAsia="zh-CN"/>
                      <w14:textFill>
                        <w14:solidFill>
                          <w14:schemeClr w14:val="tx1"/>
                        </w14:solidFill>
                      </w14:textFill>
                    </w:rPr>
                    <w:t>（GB3838-2002）</w:t>
                  </w:r>
                  <w:r>
                    <w:rPr>
                      <w:rFonts w:hint="default" w:ascii="Times New Roman" w:hAnsi="Times New Roman" w:eastAsia="宋体" w:cs="Times New Roman"/>
                      <w:color w:val="000000" w:themeColor="text1"/>
                      <w:spacing w:val="0"/>
                      <w:kern w:val="21"/>
                      <w:sz w:val="21"/>
                      <w:szCs w:val="21"/>
                      <w:lang w:val="zh-CN" w:eastAsia="zh-CN"/>
                      <w14:textFill>
                        <w14:solidFill>
                          <w14:schemeClr w14:val="tx1"/>
                        </w14:solidFill>
                      </w14:textFill>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exact"/>
                <w:jc w:val="center"/>
              </w:trPr>
              <w:tc>
                <w:tcPr>
                  <w:tcW w:w="592" w:type="pct"/>
                  <w:noWrap w:val="0"/>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声环境</w:t>
                  </w:r>
                </w:p>
              </w:tc>
              <w:tc>
                <w:tcPr>
                  <w:tcW w:w="3106" w:type="pct"/>
                  <w:gridSpan w:val="6"/>
                  <w:noWrap w:val="0"/>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厂区50m范围内</w:t>
                  </w:r>
                </w:p>
              </w:tc>
              <w:tc>
                <w:tcPr>
                  <w:tcW w:w="2447" w:type="dxa"/>
                  <w:noWrap w:val="0"/>
                  <w:vAlign w:val="center"/>
                </w:tcPr>
                <w:p>
                  <w:pPr>
                    <w:pStyle w:val="92"/>
                    <w:widowControl w:val="0"/>
                    <w:adjustRightInd w:val="0"/>
                    <w:snapToGrid w:val="0"/>
                    <w:rPr>
                      <w:rFonts w:hint="eastAsia" w:eastAsia="宋体"/>
                      <w:bCs/>
                      <w:color w:val="000000" w:themeColor="text1"/>
                      <w:spacing w:val="-14"/>
                      <w:szCs w:val="21"/>
                      <w:lang w:val="en-US" w:eastAsia="zh-CN"/>
                      <w14:textFill>
                        <w14:solidFill>
                          <w14:schemeClr w14:val="tx1"/>
                        </w14:solidFill>
                      </w14:textFill>
                    </w:rPr>
                  </w:pPr>
                  <w:r>
                    <w:rPr>
                      <w:color w:val="000000" w:themeColor="text1"/>
                      <w:sz w:val="21"/>
                      <w:szCs w:val="21"/>
                      <w14:textFill>
                        <w14:solidFill>
                          <w14:schemeClr w14:val="tx1"/>
                        </w14:solidFill>
                      </w14:textFill>
                    </w:rPr>
                    <w:t>《声环境质量标准》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GB3096-2008</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3类</w:t>
                  </w:r>
                </w:p>
              </w:tc>
            </w:tr>
          </w:tbl>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3建设内容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（1）产品方案</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本项目主产品详见下表2</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p>
          <w:p>
            <w:pPr>
              <w:pStyle w:val="115"/>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表2-</w:t>
            </w:r>
            <w:r>
              <w:rPr>
                <w:rFonts w:hint="default"/>
                <w:color w:val="000000" w:themeColor="text1"/>
                <w:sz w:val="18"/>
                <w:szCs w:val="18"/>
                <w14:textFill>
                  <w14:solidFill>
                    <w14:schemeClr w14:val="tx1"/>
                  </w14:solidFill>
                </w14:textFill>
              </w:rPr>
              <w:t xml:space="preserve">2 </w:t>
            </w:r>
            <w:r>
              <w:rPr>
                <w:color w:val="000000" w:themeColor="text1"/>
                <w:sz w:val="18"/>
                <w:szCs w:val="18"/>
                <w14:textFill>
                  <w14:solidFill>
                    <w14:schemeClr w14:val="tx1"/>
                  </w14:solidFill>
                </w14:textFill>
              </w:rPr>
              <w:t>产品方案一览表</w:t>
            </w:r>
          </w:p>
          <w:tbl>
            <w:tblPr>
              <w:tblStyle w:val="3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1506"/>
              <w:gridCol w:w="1506"/>
              <w:gridCol w:w="1882"/>
              <w:gridCol w:w="18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8" w:type="pct"/>
                  <w:vAlign w:val="center"/>
                </w:tcPr>
                <w:p>
                  <w:pPr>
                    <w:adjustRightInd w:val="0"/>
                    <w:snapToGrid w:val="0"/>
                    <w:ind w:left="-63" w:leftChars="-30" w:right="-63" w:rightChars="-3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产品名称</w:t>
                  </w:r>
                </w:p>
              </w:tc>
              <w:tc>
                <w:tcPr>
                  <w:tcW w:w="800" w:type="pct"/>
                  <w:vAlign w:val="center"/>
                </w:tcPr>
                <w:p>
                  <w:pPr>
                    <w:adjustRightInd w:val="0"/>
                    <w:snapToGrid w:val="0"/>
                    <w:ind w:left="-63" w:leftChars="-30" w:right="-63" w:rightChars="-3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规格</w:t>
                  </w:r>
                </w:p>
              </w:tc>
              <w:tc>
                <w:tcPr>
                  <w:tcW w:w="800" w:type="pct"/>
                  <w:vAlign w:val="center"/>
                </w:tcPr>
                <w:p>
                  <w:pPr>
                    <w:adjustRightInd w:val="0"/>
                    <w:snapToGrid w:val="0"/>
                    <w:ind w:left="-63" w:leftChars="-30" w:right="-63" w:rightChars="-3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设计能力</w:t>
                  </w:r>
                </w:p>
              </w:tc>
              <w:tc>
                <w:tcPr>
                  <w:tcW w:w="1000" w:type="pct"/>
                  <w:vAlign w:val="center"/>
                </w:tcPr>
                <w:p>
                  <w:pPr>
                    <w:adjustRightInd w:val="0"/>
                    <w:snapToGrid w:val="0"/>
                    <w:ind w:left="-63" w:leftChars="-30" w:right="-63" w:rightChars="-3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实际产量</w:t>
                  </w:r>
                </w:p>
              </w:tc>
              <w:tc>
                <w:tcPr>
                  <w:tcW w:w="1000" w:type="pct"/>
                  <w:vAlign w:val="center"/>
                </w:tcPr>
                <w:p>
                  <w:pPr>
                    <w:adjustRightInd w:val="0"/>
                    <w:snapToGrid w:val="0"/>
                    <w:ind w:left="-63" w:leftChars="-30" w:right="-63" w:rightChars="-30"/>
                    <w:jc w:val="center"/>
                    <w:rPr>
                      <w:rFonts w:hint="eastAsia"/>
                      <w:b w:val="0"/>
                      <w:bCs/>
                      <w:color w:val="000000" w:themeColor="text1"/>
                      <w:sz w:val="18"/>
                      <w:szCs w:val="18"/>
                      <w14:textFill>
                        <w14:solidFill>
                          <w14:schemeClr w14:val="tx1"/>
                        </w14:solidFill>
                      </w14:textFill>
                    </w:rPr>
                  </w:pPr>
                  <w:r>
                    <w:rPr>
                      <w:rFonts w:hint="default"/>
                      <w:color w:val="000000" w:themeColor="text1"/>
                      <w:highlight w:val="none"/>
                      <w:lang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8"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w:t>
                  </w:r>
                </w:p>
              </w:tc>
              <w:tc>
                <w:tcPr>
                  <w:tcW w:w="800" w:type="pct"/>
                  <w:vMerge w:val="restart"/>
                  <w:vAlign w:val="center"/>
                </w:tcPr>
                <w:p>
                  <w:pPr>
                    <w:keepNext w:val="0"/>
                    <w:keepLines w:val="0"/>
                    <w:suppressLineNumbers w:val="0"/>
                    <w:spacing w:before="0" w:beforeAutospacing="0" w:after="0" w:afterAutospacing="0"/>
                    <w:ind w:left="0" w:right="0"/>
                    <w:jc w:val="center"/>
                    <w:rPr>
                      <w:rFonts w:hint="default" w:ascii="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片状：60目；</w:t>
                  </w:r>
                </w:p>
                <w:p>
                  <w:pPr>
                    <w:keepNext w:val="0"/>
                    <w:keepLines w:val="0"/>
                    <w:suppressLineNumbers w:val="0"/>
                    <w:spacing w:before="0" w:beforeAutospacing="0" w:after="0" w:afterAutospacing="0"/>
                    <w:ind w:left="0" w:leftChars="0" w:right="0" w:rightChars="0"/>
                    <w:jc w:val="center"/>
                    <w:rPr>
                      <w:rFonts w:hint="default" w:ascii="Times New Roman"/>
                      <w:color w:val="000000" w:themeColor="text1"/>
                      <w:sz w:val="21"/>
                      <w:szCs w:val="21"/>
                      <w14:textFill>
                        <w14:solidFill>
                          <w14:schemeClr w14:val="tx1"/>
                        </w14:solidFill>
                      </w14:textFill>
                    </w:rPr>
                  </w:pPr>
                  <w:r>
                    <w:rPr>
                      <w:rFonts w:hint="default" w:ascii="Times New Roman"/>
                      <w:color w:val="000000" w:themeColor="text1"/>
                      <w:sz w:val="21"/>
                      <w:szCs w:val="21"/>
                      <w14:textFill>
                        <w14:solidFill>
                          <w14:schemeClr w14:val="tx1"/>
                        </w14:solidFill>
                      </w14:textFill>
                    </w:rPr>
                    <w:t>粉状：80目</w:t>
                  </w:r>
                </w:p>
              </w:tc>
              <w:tc>
                <w:tcPr>
                  <w:tcW w:w="800" w:type="pct"/>
                  <w:vAlign w:val="center"/>
                </w:tcPr>
                <w:p>
                  <w:pPr>
                    <w:pStyle w:val="124"/>
                    <w:rPr>
                      <w:rFonts w:hint="default" w:ascii="Times New Roman" w:hAnsi="Times New Roman" w:eastAsia="宋体" w:cs="宋体"/>
                      <w:color w:val="000000" w:themeColor="text1"/>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2500吨</w:t>
                  </w:r>
                </w:p>
              </w:tc>
              <w:tc>
                <w:tcPr>
                  <w:tcW w:w="1882" w:type="dxa"/>
                  <w:vAlign w:val="center"/>
                </w:tcPr>
                <w:p>
                  <w:pPr>
                    <w:pStyle w:val="124"/>
                    <w:rPr>
                      <w:rFonts w:hint="eastAsia"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2500吨</w:t>
                  </w:r>
                </w:p>
              </w:tc>
              <w:tc>
                <w:tcPr>
                  <w:tcW w:w="1000" w:type="pct"/>
                  <w:vAlign w:val="center"/>
                </w:tcPr>
                <w:p>
                  <w:pPr>
                    <w:adjustRightInd w:val="0"/>
                    <w:snapToGrid w:val="0"/>
                    <w:ind w:left="-63" w:leftChars="-30" w:right="-63" w:rightChars="-30"/>
                    <w:jc w:val="center"/>
                    <w:rPr>
                      <w:color w:val="000000" w:themeColor="text1"/>
                      <w:sz w:val="18"/>
                      <w:szCs w:val="18"/>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8"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膨化谷物粉</w:t>
                  </w:r>
                </w:p>
              </w:tc>
              <w:tc>
                <w:tcPr>
                  <w:tcW w:w="800"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color w:val="000000" w:themeColor="text1"/>
                      <w:sz w:val="21"/>
                      <w:szCs w:val="21"/>
                      <w14:textFill>
                        <w14:solidFill>
                          <w14:schemeClr w14:val="tx1"/>
                        </w14:solidFill>
                      </w14:textFill>
                    </w:rPr>
                  </w:pPr>
                </w:p>
              </w:tc>
              <w:tc>
                <w:tcPr>
                  <w:tcW w:w="800" w:type="pct"/>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2500吨</w:t>
                  </w:r>
                </w:p>
              </w:tc>
              <w:tc>
                <w:tcPr>
                  <w:tcW w:w="1882" w:type="dxa"/>
                  <w:vAlign w:val="center"/>
                </w:tcPr>
                <w:p>
                  <w:pPr>
                    <w:adjustRightInd w:val="0"/>
                    <w:snapToGrid w:val="0"/>
                    <w:ind w:left="-63" w:leftChars="-30" w:right="-63" w:rightChars="-30"/>
                    <w:jc w:val="center"/>
                    <w:rPr>
                      <w:rFonts w:hint="default"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2500吨</w:t>
                  </w:r>
                </w:p>
              </w:tc>
              <w:tc>
                <w:tcPr>
                  <w:tcW w:w="1000" w:type="pct"/>
                  <w:vAlign w:val="center"/>
                </w:tcPr>
                <w:p>
                  <w:pPr>
                    <w:adjustRightInd w:val="0"/>
                    <w:snapToGrid w:val="0"/>
                    <w:ind w:left="-63" w:leftChars="-30" w:right="-63" w:rightChars="-30"/>
                    <w:jc w:val="center"/>
                    <w:rPr>
                      <w:color w:val="000000" w:themeColor="text1"/>
                      <w:sz w:val="18"/>
                      <w:szCs w:val="18"/>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98"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益生菌发酵谷物粉</w:t>
                  </w:r>
                </w:p>
              </w:tc>
              <w:tc>
                <w:tcPr>
                  <w:tcW w:w="800" w:type="pct"/>
                  <w:vMerge w:val="continue"/>
                  <w:vAlign w:val="center"/>
                </w:tcPr>
                <w:p>
                  <w:pPr>
                    <w:keepNext w:val="0"/>
                    <w:keepLines w:val="0"/>
                    <w:suppressLineNumbers w:val="0"/>
                    <w:spacing w:before="0" w:beforeAutospacing="0" w:after="0" w:afterAutospacing="0"/>
                    <w:ind w:left="0" w:leftChars="0" w:right="0" w:rightChars="0"/>
                    <w:jc w:val="center"/>
                    <w:rPr>
                      <w:rFonts w:hint="default" w:ascii="Times New Roman"/>
                      <w:color w:val="000000" w:themeColor="text1"/>
                      <w:sz w:val="21"/>
                      <w:szCs w:val="21"/>
                      <w14:textFill>
                        <w14:solidFill>
                          <w14:schemeClr w14:val="tx1"/>
                        </w14:solidFill>
                      </w14:textFill>
                    </w:rPr>
                  </w:pPr>
                </w:p>
              </w:tc>
              <w:tc>
                <w:tcPr>
                  <w:tcW w:w="800" w:type="pct"/>
                  <w:vAlign w:val="center"/>
                </w:tcPr>
                <w:p>
                  <w:pPr>
                    <w:adjustRightInd w:val="0"/>
                    <w:snapToGrid w:val="0"/>
                    <w:ind w:left="-63" w:leftChars="-30" w:right="-63" w:rightChars="-3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5000吨</w:t>
                  </w:r>
                </w:p>
              </w:tc>
              <w:tc>
                <w:tcPr>
                  <w:tcW w:w="1882" w:type="dxa"/>
                  <w:vAlign w:val="center"/>
                </w:tcPr>
                <w:p>
                  <w:pPr>
                    <w:adjustRightInd w:val="0"/>
                    <w:snapToGrid w:val="0"/>
                    <w:ind w:left="-63" w:leftChars="-30" w:right="-63" w:rightChars="-3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5000吨</w:t>
                  </w:r>
                </w:p>
              </w:tc>
              <w:tc>
                <w:tcPr>
                  <w:tcW w:w="1000" w:type="pct"/>
                  <w:vAlign w:val="center"/>
                </w:tcPr>
                <w:p>
                  <w:pPr>
                    <w:adjustRightInd w:val="0"/>
                    <w:snapToGrid w:val="0"/>
                    <w:ind w:left="-63" w:leftChars="-30" w:right="-63" w:rightChars="-3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外售</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（2）项目主要工程内容</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项目主要工程内容组成见表2-</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w:t>
            </w:r>
          </w:p>
          <w:p>
            <w:pPr>
              <w:pStyle w:val="115"/>
              <w:rPr>
                <w:rFonts w:hint="default"/>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表2-</w:t>
            </w:r>
            <w:r>
              <w:rPr>
                <w:rFonts w:hint="default"/>
                <w:color w:val="000000" w:themeColor="text1"/>
                <w:sz w:val="18"/>
                <w:szCs w:val="18"/>
                <w14:textFill>
                  <w14:solidFill>
                    <w14:schemeClr w14:val="tx1"/>
                  </w14:solidFill>
                </w14:textFill>
              </w:rPr>
              <w:t>3 建设项目</w:t>
            </w:r>
            <w:r>
              <w:rPr>
                <w:color w:val="000000" w:themeColor="text1"/>
                <w:sz w:val="18"/>
                <w:szCs w:val="18"/>
                <w14:textFill>
                  <w14:solidFill>
                    <w14:schemeClr w14:val="tx1"/>
                  </w14:solidFill>
                </w14:textFill>
              </w:rPr>
              <w:t>主要工程内容组成一览表</w:t>
            </w:r>
          </w:p>
          <w:tbl>
            <w:tblPr>
              <w:tblStyle w:val="3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921"/>
              <w:gridCol w:w="3238"/>
              <w:gridCol w:w="3032"/>
              <w:gridCol w:w="16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18"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名称</w:t>
                  </w:r>
                </w:p>
              </w:tc>
              <w:tc>
                <w:tcPr>
                  <w:tcW w:w="489"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主要构筑物</w:t>
                  </w:r>
                </w:p>
              </w:tc>
              <w:tc>
                <w:tcPr>
                  <w:tcW w:w="1719"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环评及批复建设内容及规模</w:t>
                  </w:r>
                </w:p>
              </w:tc>
              <w:tc>
                <w:tcPr>
                  <w:tcW w:w="1610"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实际建设内容及规模</w:t>
                  </w:r>
                </w:p>
              </w:tc>
              <w:tc>
                <w:tcPr>
                  <w:tcW w:w="86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变化情况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 w:type="pct"/>
                  <w:vMerge w:val="restar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主体</w:t>
                  </w:r>
                </w:p>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工程</w:t>
                  </w:r>
                </w:p>
              </w:tc>
              <w:tc>
                <w:tcPr>
                  <w:tcW w:w="48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1#厂房</w:t>
                  </w:r>
                </w:p>
              </w:tc>
              <w:tc>
                <w:tcPr>
                  <w:tcW w:w="171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1F-4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14:textFill>
                        <w14:solidFill>
                          <w14:schemeClr w14:val="tx1"/>
                        </w14:solidFill>
                      </w14:textFill>
                    </w:rPr>
                    <w:t>建筑面积约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14831.24</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其中1F用于生产</w:t>
                  </w:r>
                  <w:r>
                    <w:rPr>
                      <w:rFonts w:hint="default" w:ascii="Times New Roman"/>
                      <w:color w:val="000000" w:themeColor="text1"/>
                      <w:szCs w:val="24"/>
                      <w14:textFill>
                        <w14:solidFill>
                          <w14:schemeClr w14:val="tx1"/>
                        </w14:solidFill>
                      </w14:textFill>
                    </w:rPr>
                    <w:t>预糊化</w:t>
                  </w:r>
                  <w:r>
                    <w:rPr>
                      <w:rFonts w:hint="eastAsia" w:ascii="Times New Roman"/>
                      <w:color w:val="000000" w:themeColor="text1"/>
                      <w:szCs w:val="24"/>
                      <w:lang w:eastAsia="zh-CN"/>
                      <w14:textFill>
                        <w14:solidFill>
                          <w14:schemeClr w14:val="tx1"/>
                        </w14:solidFill>
                      </w14:textFill>
                    </w:rPr>
                    <w:t>；</w:t>
                  </w:r>
                  <w:r>
                    <w:rPr>
                      <w:rFonts w:hint="eastAsia" w:ascii="Times New Roman"/>
                      <w:color w:val="000000" w:themeColor="text1"/>
                      <w:szCs w:val="24"/>
                      <w:lang w:val="en-US" w:eastAsia="zh-CN"/>
                      <w14:textFill>
                        <w14:solidFill>
                          <w14:schemeClr w14:val="tx1"/>
                        </w14:solidFill>
                      </w14:textFill>
                    </w:rPr>
                    <w:t>2F</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color w:val="000000" w:themeColor="text1"/>
                      <w:szCs w:val="24"/>
                      <w:lang w:val="en-US" w:eastAsia="zh-CN"/>
                      <w14:textFill>
                        <w14:solidFill>
                          <w14:schemeClr w14:val="tx1"/>
                        </w14:solidFill>
                      </w14:textFill>
                    </w:rPr>
                    <w:t>用于原材料贮存；3F</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color w:val="000000" w:themeColor="text1"/>
                      <w:szCs w:val="24"/>
                      <w:lang w:val="en-US" w:eastAsia="zh-CN"/>
                      <w14:textFill>
                        <w14:solidFill>
                          <w14:schemeClr w14:val="tx1"/>
                        </w14:solidFill>
                      </w14:textFill>
                    </w:rPr>
                    <w:t>用于成品存放；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4F用于生产</w:t>
                  </w:r>
                  <w:r>
                    <w:rPr>
                      <w:rFonts w:hint="default" w:ascii="Times New Roman"/>
                      <w:color w:val="000000" w:themeColor="text1"/>
                      <w:szCs w:val="24"/>
                      <w14:textFill>
                        <w14:solidFill>
                          <w14:schemeClr w14:val="tx1"/>
                        </w14:solidFill>
                      </w14:textFill>
                    </w:rPr>
                    <w:t>膨化</w:t>
                  </w:r>
                  <w:r>
                    <w:rPr>
                      <w:rFonts w:hint="eastAsia" w:ascii="Times New Roman"/>
                      <w:color w:val="000000" w:themeColor="text1"/>
                      <w:szCs w:val="24"/>
                      <w:lang w:eastAsia="zh-CN"/>
                      <w14:textFill>
                        <w14:solidFill>
                          <w14:schemeClr w14:val="tx1"/>
                        </w14:solidFill>
                      </w14:textFill>
                    </w:rPr>
                    <w:t>、益生菌发酵</w:t>
                  </w:r>
                  <w:r>
                    <w:rPr>
                      <w:rFonts w:hint="default" w:ascii="Times New Roman"/>
                      <w:color w:val="000000" w:themeColor="text1"/>
                      <w:szCs w:val="24"/>
                      <w14:textFill>
                        <w14:solidFill>
                          <w14:schemeClr w14:val="tx1"/>
                        </w14:solidFill>
                      </w14:textFill>
                    </w:rPr>
                    <w:t>谷物粉</w:t>
                  </w:r>
                </w:p>
              </w:tc>
              <w:tc>
                <w:tcPr>
                  <w:tcW w:w="1610"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1F-4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14:textFill>
                        <w14:solidFill>
                          <w14:schemeClr w14:val="tx1"/>
                        </w14:solidFill>
                      </w14:textFill>
                    </w:rPr>
                    <w:t>建筑面积约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14831.24</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其中1F用于生产</w:t>
                  </w:r>
                  <w:r>
                    <w:rPr>
                      <w:rFonts w:hint="default" w:ascii="Times New Roman"/>
                      <w:color w:val="000000" w:themeColor="text1"/>
                      <w:szCs w:val="24"/>
                      <w14:textFill>
                        <w14:solidFill>
                          <w14:schemeClr w14:val="tx1"/>
                        </w14:solidFill>
                      </w14:textFill>
                    </w:rPr>
                    <w:t>预糊化</w:t>
                  </w:r>
                  <w:r>
                    <w:rPr>
                      <w:rFonts w:hint="eastAsia" w:ascii="Times New Roman"/>
                      <w:color w:val="000000" w:themeColor="text1"/>
                      <w:szCs w:val="24"/>
                      <w:lang w:eastAsia="zh-CN"/>
                      <w14:textFill>
                        <w14:solidFill>
                          <w14:schemeClr w14:val="tx1"/>
                        </w14:solidFill>
                      </w14:textFill>
                    </w:rPr>
                    <w:t>；</w:t>
                  </w:r>
                  <w:r>
                    <w:rPr>
                      <w:rFonts w:hint="eastAsia" w:ascii="Times New Roman"/>
                      <w:color w:val="FF0000"/>
                      <w:szCs w:val="24"/>
                      <w:lang w:val="en-US" w:eastAsia="zh-CN"/>
                    </w:rPr>
                    <w:t>2F</w:t>
                  </w:r>
                  <w:r>
                    <w:rPr>
                      <w:rFonts w:hint="default" w:ascii="Times New Roman" w:hAnsi="Times New Roman" w:eastAsia="宋体" w:cs="Times New Roman"/>
                      <w:color w:val="FF0000"/>
                      <w:sz w:val="21"/>
                      <w:szCs w:val="21"/>
                      <w:lang w:val="en-US" w:eastAsia="zh-CN"/>
                    </w:rPr>
                    <w:t>，</w:t>
                  </w:r>
                  <w:r>
                    <w:rPr>
                      <w:rFonts w:hint="eastAsia"/>
                      <w:color w:val="FF0000"/>
                      <w:szCs w:val="24"/>
                      <w:lang w:val="en-US" w:eastAsia="zh-CN"/>
                    </w:rPr>
                    <w:t>500m</w:t>
                  </w:r>
                  <w:r>
                    <w:rPr>
                      <w:rFonts w:hint="eastAsia"/>
                      <w:color w:val="FF0000"/>
                      <w:szCs w:val="24"/>
                      <w:vertAlign w:val="superscript"/>
                      <w:lang w:val="en-US" w:eastAsia="zh-CN"/>
                    </w:rPr>
                    <w:t>2</w:t>
                  </w:r>
                  <w:r>
                    <w:rPr>
                      <w:rFonts w:hint="eastAsia"/>
                      <w:color w:val="FF0000"/>
                      <w:szCs w:val="24"/>
                      <w:vertAlign w:val="baseline"/>
                      <w:lang w:val="en-US" w:eastAsia="zh-CN"/>
                    </w:rPr>
                    <w:t>用于</w:t>
                  </w:r>
                  <w:r>
                    <w:rPr>
                      <w:rFonts w:hint="eastAsia"/>
                      <w:color w:val="FF0000"/>
                      <w:szCs w:val="24"/>
                      <w:lang w:val="en-US" w:eastAsia="zh-CN"/>
                    </w:rPr>
                    <w:t>员工办公，其余用于</w:t>
                  </w:r>
                  <w:r>
                    <w:rPr>
                      <w:rFonts w:hint="eastAsia" w:ascii="Times New Roman"/>
                      <w:color w:val="000000" w:themeColor="text1"/>
                      <w:szCs w:val="24"/>
                      <w:lang w:val="en-US" w:eastAsia="zh-CN"/>
                      <w14:textFill>
                        <w14:solidFill>
                          <w14:schemeClr w14:val="tx1"/>
                        </w14:solidFill>
                      </w14:textFill>
                    </w:rPr>
                    <w:t>原材料贮存</w:t>
                  </w:r>
                  <w:r>
                    <w:rPr>
                      <w:rFonts w:hint="eastAsia" w:ascii="Times New Roman"/>
                      <w:color w:val="FF0000"/>
                      <w:szCs w:val="24"/>
                      <w:lang w:val="en-US" w:eastAsia="zh-CN"/>
                    </w:rPr>
                    <w:t>；</w:t>
                  </w:r>
                  <w:r>
                    <w:rPr>
                      <w:rFonts w:hint="eastAsia" w:ascii="Times New Roman"/>
                      <w:color w:val="000000" w:themeColor="text1"/>
                      <w:szCs w:val="24"/>
                      <w:lang w:val="en-US" w:eastAsia="zh-CN"/>
                      <w14:textFill>
                        <w14:solidFill>
                          <w14:schemeClr w14:val="tx1"/>
                        </w14:solidFill>
                      </w14:textFill>
                    </w:rPr>
                    <w:t>3F</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color w:val="000000" w:themeColor="text1"/>
                      <w:szCs w:val="24"/>
                      <w:lang w:val="en-US" w:eastAsia="zh-CN"/>
                      <w14:textFill>
                        <w14:solidFill>
                          <w14:schemeClr w14:val="tx1"/>
                        </w14:solidFill>
                      </w14:textFill>
                    </w:rPr>
                    <w:t>用于成品存放；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4F用于生产</w:t>
                  </w:r>
                  <w:r>
                    <w:rPr>
                      <w:rFonts w:hint="default" w:ascii="Times New Roman"/>
                      <w:color w:val="000000" w:themeColor="text1"/>
                      <w:szCs w:val="24"/>
                      <w14:textFill>
                        <w14:solidFill>
                          <w14:schemeClr w14:val="tx1"/>
                        </w14:solidFill>
                      </w14:textFill>
                    </w:rPr>
                    <w:t>膨化</w:t>
                  </w:r>
                  <w:r>
                    <w:rPr>
                      <w:rFonts w:hint="eastAsia" w:ascii="Times New Roman"/>
                      <w:color w:val="000000" w:themeColor="text1"/>
                      <w:szCs w:val="24"/>
                      <w:lang w:eastAsia="zh-CN"/>
                      <w14:textFill>
                        <w14:solidFill>
                          <w14:schemeClr w14:val="tx1"/>
                        </w14:solidFill>
                      </w14:textFill>
                    </w:rPr>
                    <w:t>、益生菌发酵</w:t>
                  </w:r>
                  <w:r>
                    <w:rPr>
                      <w:rFonts w:hint="default" w:ascii="Times New Roman"/>
                      <w:color w:val="000000" w:themeColor="text1"/>
                      <w:szCs w:val="24"/>
                      <w14:textFill>
                        <w14:solidFill>
                          <w14:schemeClr w14:val="tx1"/>
                        </w14:solidFill>
                      </w14:textFill>
                    </w:rPr>
                    <w:t>谷物粉</w:t>
                  </w:r>
                </w:p>
              </w:tc>
              <w:tc>
                <w:tcPr>
                  <w:tcW w:w="862" w:type="pct"/>
                  <w:vAlign w:val="center"/>
                </w:tcPr>
                <w:p>
                  <w:pPr>
                    <w:jc w:val="center"/>
                    <w:rPr>
                      <w:rFonts w:hint="default"/>
                      <w:bCs/>
                      <w:color w:val="000000" w:themeColor="text1"/>
                      <w:sz w:val="21"/>
                      <w:szCs w:val="21"/>
                      <w:highlight w:val="none"/>
                      <w:lang w:val="en-US" w:eastAsia="zh-CN"/>
                      <w14:textFill>
                        <w14:solidFill>
                          <w14:schemeClr w14:val="tx1"/>
                        </w14:solidFill>
                      </w14:textFill>
                    </w:rPr>
                  </w:pPr>
                  <w:r>
                    <w:rPr>
                      <w:rFonts w:hint="eastAsia"/>
                      <w:bCs/>
                      <w:color w:val="FF0000"/>
                      <w:sz w:val="21"/>
                      <w:szCs w:val="21"/>
                      <w:highlight w:val="none"/>
                      <w:lang w:val="en-US" w:eastAsia="zh-CN"/>
                    </w:rPr>
                    <w:t>2F，500m</w:t>
                  </w:r>
                  <w:r>
                    <w:rPr>
                      <w:rFonts w:hint="eastAsia"/>
                      <w:bCs/>
                      <w:color w:val="FF0000"/>
                      <w:sz w:val="21"/>
                      <w:szCs w:val="21"/>
                      <w:highlight w:val="none"/>
                      <w:vertAlign w:val="superscript"/>
                      <w:lang w:val="en-US" w:eastAsia="zh-CN"/>
                    </w:rPr>
                    <w:t>2</w:t>
                  </w:r>
                  <w:r>
                    <w:rPr>
                      <w:rFonts w:hint="eastAsia"/>
                      <w:bCs/>
                      <w:color w:val="FF0000"/>
                      <w:sz w:val="21"/>
                      <w:szCs w:val="21"/>
                      <w:highlight w:val="none"/>
                      <w:lang w:val="en-US" w:eastAsia="zh-CN"/>
                    </w:rPr>
                    <w:t>改为办公室，用于员工办公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18" w:type="pct"/>
                  <w:vMerge w:val="continue"/>
                  <w:vAlign w:val="center"/>
                </w:tcPr>
                <w:p>
                  <w:pPr>
                    <w:jc w:val="center"/>
                    <w:rPr>
                      <w:rFonts w:hint="eastAsia"/>
                      <w:bCs/>
                      <w:color w:val="000000" w:themeColor="text1"/>
                      <w:sz w:val="21"/>
                      <w:szCs w:val="21"/>
                      <w:highlight w:val="none"/>
                      <w:lang w:val="en-US" w:eastAsia="zh-CN"/>
                      <w14:textFill>
                        <w14:solidFill>
                          <w14:schemeClr w14:val="tx1"/>
                        </w14:solidFill>
                      </w14:textFill>
                    </w:rPr>
                  </w:pPr>
                </w:p>
              </w:tc>
              <w:tc>
                <w:tcPr>
                  <w:tcW w:w="48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2#厂房</w:t>
                  </w:r>
                </w:p>
              </w:tc>
              <w:tc>
                <w:tcPr>
                  <w:tcW w:w="171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6892.32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备用</w:t>
                  </w:r>
                </w:p>
              </w:tc>
              <w:tc>
                <w:tcPr>
                  <w:tcW w:w="1610" w:type="pct"/>
                  <w:vAlign w:val="center"/>
                </w:tcPr>
                <w:p>
                  <w:pPr>
                    <w:keepNext w:val="0"/>
                    <w:keepLines w:val="0"/>
                    <w:suppressLineNumbers w:val="0"/>
                    <w:spacing w:before="0" w:beforeAutospacing="0" w:after="0" w:afterAutospacing="0"/>
                    <w:ind w:left="0" w:leftChars="0" w:right="0" w:rightChars="0"/>
                    <w:jc w:val="center"/>
                    <w:rPr>
                      <w:rFonts w:hint="eastAsia"/>
                      <w:bCs/>
                      <w:color w:val="FF0000"/>
                      <w:sz w:val="21"/>
                      <w:szCs w:val="21"/>
                      <w:highlight w:val="none"/>
                      <w:lang w:val="en-US" w:eastAsia="zh-CN"/>
                    </w:rPr>
                  </w:pPr>
                  <w:r>
                    <w:rPr>
                      <w:rFonts w:hint="eastAsia" w:cs="Times New Roman"/>
                      <w:color w:val="FF0000"/>
                      <w:sz w:val="21"/>
                      <w:szCs w:val="21"/>
                      <w:highlight w:val="none"/>
                      <w:lang w:val="en-US" w:eastAsia="zh-CN"/>
                    </w:rPr>
                    <w:t>无</w:t>
                  </w:r>
                </w:p>
              </w:tc>
              <w:tc>
                <w:tcPr>
                  <w:tcW w:w="862" w:type="pct"/>
                  <w:vAlign w:val="center"/>
                </w:tcPr>
                <w:p>
                  <w:pPr>
                    <w:keepNext w:val="0"/>
                    <w:keepLines w:val="0"/>
                    <w:suppressLineNumbers w:val="0"/>
                    <w:spacing w:before="0" w:beforeAutospacing="0" w:after="0" w:afterAutospacing="0"/>
                    <w:ind w:left="0" w:leftChars="0" w:right="0" w:rightChars="0"/>
                    <w:jc w:val="center"/>
                    <w:rPr>
                      <w:rFonts w:hint="default"/>
                      <w:bCs/>
                      <w:color w:val="FF0000"/>
                      <w:sz w:val="21"/>
                      <w:szCs w:val="21"/>
                      <w:highlight w:val="none"/>
                      <w:lang w:val="en-US" w:eastAsia="zh-CN"/>
                    </w:rPr>
                  </w:pPr>
                  <w:r>
                    <w:rPr>
                      <w:rFonts w:hint="eastAsia" w:cs="Times New Roman"/>
                      <w:color w:val="FF0000"/>
                      <w:sz w:val="21"/>
                      <w:szCs w:val="21"/>
                      <w:highlight w:val="none"/>
                      <w:lang w:val="en-US" w:eastAsia="zh-CN"/>
                    </w:rPr>
                    <w:t>2#厂房未建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18" w:type="pct"/>
                  <w:vMerge w:val="continue"/>
                  <w:vAlign w:val="center"/>
                </w:tcPr>
                <w:p>
                  <w:pPr>
                    <w:jc w:val="center"/>
                    <w:rPr>
                      <w:color w:val="000000" w:themeColor="text1"/>
                      <w14:textFill>
                        <w14:solidFill>
                          <w14:schemeClr w14:val="tx1"/>
                        </w14:solidFill>
                      </w14:textFill>
                    </w:rPr>
                  </w:pPr>
                </w:p>
              </w:tc>
              <w:tc>
                <w:tcPr>
                  <w:tcW w:w="489" w:type="pct"/>
                  <w:vAlign w:val="center"/>
                </w:tcPr>
                <w:p>
                  <w:pPr>
                    <w:keepNext w:val="0"/>
                    <w:keepLines w:val="0"/>
                    <w:suppressLineNumbers w:val="0"/>
                    <w:spacing w:before="0" w:beforeAutospacing="0" w:after="0" w:afterAutospacing="0"/>
                    <w:ind w:left="0" w:leftChars="0" w:right="0" w:rightChars="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4#厂房</w:t>
                  </w:r>
                </w:p>
              </w:tc>
              <w:tc>
                <w:tcPr>
                  <w:tcW w:w="1719" w:type="pct"/>
                  <w:vAlign w:val="center"/>
                </w:tcPr>
                <w:p>
                  <w:pPr>
                    <w:keepNext w:val="0"/>
                    <w:keepLines w:val="0"/>
                    <w:suppressLineNumbers w:val="0"/>
                    <w:spacing w:before="0" w:beforeAutospacing="0" w:after="0" w:afterAutospacing="0"/>
                    <w:ind w:left="0" w:leftChars="0" w:right="0" w:rightChars="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2508.48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备用</w:t>
                  </w:r>
                </w:p>
              </w:tc>
              <w:tc>
                <w:tcPr>
                  <w:tcW w:w="1610" w:type="pct"/>
                  <w:vAlign w:val="center"/>
                </w:tcPr>
                <w:p>
                  <w:pPr>
                    <w:keepNext w:val="0"/>
                    <w:keepLines w:val="0"/>
                    <w:suppressLineNumbers w:val="0"/>
                    <w:spacing w:before="0" w:beforeAutospacing="0" w:after="0" w:afterAutospacing="0"/>
                    <w:ind w:left="0" w:leftChars="0" w:right="0" w:rightChars="0"/>
                    <w:jc w:val="center"/>
                    <w:rPr>
                      <w:color w:val="FF0000"/>
                    </w:rPr>
                  </w:pPr>
                  <w:r>
                    <w:rPr>
                      <w:rFonts w:hint="eastAsia" w:cs="Times New Roman"/>
                      <w:color w:val="FF0000"/>
                      <w:sz w:val="21"/>
                      <w:szCs w:val="21"/>
                      <w:highlight w:val="none"/>
                      <w:lang w:val="en-US" w:eastAsia="zh-CN"/>
                    </w:rPr>
                    <w:t>无</w:t>
                  </w:r>
                </w:p>
              </w:tc>
              <w:tc>
                <w:tcPr>
                  <w:tcW w:w="862" w:type="pct"/>
                  <w:vAlign w:val="center"/>
                </w:tcPr>
                <w:p>
                  <w:pPr>
                    <w:keepNext w:val="0"/>
                    <w:keepLines w:val="0"/>
                    <w:suppressLineNumbers w:val="0"/>
                    <w:spacing w:before="0" w:beforeAutospacing="0" w:after="0" w:afterAutospacing="0"/>
                    <w:ind w:left="0" w:leftChars="0" w:right="0" w:rightChars="0"/>
                    <w:jc w:val="center"/>
                    <w:rPr>
                      <w:rFonts w:hint="default"/>
                      <w:bCs/>
                      <w:color w:val="FF0000"/>
                      <w:sz w:val="21"/>
                      <w:szCs w:val="21"/>
                      <w:highlight w:val="none"/>
                      <w:lang w:val="en-US" w:eastAsia="zh-CN"/>
                    </w:rPr>
                  </w:pPr>
                  <w:r>
                    <w:rPr>
                      <w:rFonts w:hint="eastAsia" w:cs="Times New Roman"/>
                      <w:color w:val="FF0000"/>
                      <w:sz w:val="21"/>
                      <w:szCs w:val="21"/>
                      <w:highlight w:val="none"/>
                      <w:lang w:val="en-US" w:eastAsia="zh-CN"/>
                    </w:rPr>
                    <w:t>4#厂房未建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8" w:type="pct"/>
                  <w:vMerge w:val="restar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辅助</w:t>
                  </w:r>
                </w:p>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工程</w:t>
                  </w:r>
                </w:p>
              </w:tc>
              <w:tc>
                <w:tcPr>
                  <w:tcW w:w="48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3#宿舍</w:t>
                  </w:r>
                </w:p>
              </w:tc>
              <w:tc>
                <w:tcPr>
                  <w:tcW w:w="171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2496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其中1F食堂提供员工餐饮；3~4F用于员工行政办公及生活</w:t>
                  </w:r>
                </w:p>
              </w:tc>
              <w:tc>
                <w:tcPr>
                  <w:tcW w:w="1610" w:type="pct"/>
                  <w:vAlign w:val="center"/>
                </w:tcPr>
                <w:p>
                  <w:pPr>
                    <w:keepNext w:val="0"/>
                    <w:keepLines w:val="0"/>
                    <w:suppressLineNumbers w:val="0"/>
                    <w:spacing w:before="0" w:beforeAutospacing="0" w:after="0" w:afterAutospacing="0"/>
                    <w:ind w:left="0" w:leftChars="0" w:right="0" w:rightChars="0"/>
                    <w:jc w:val="center"/>
                    <w:rPr>
                      <w:rFonts w:hint="default"/>
                      <w:bCs/>
                      <w:color w:val="FF0000"/>
                      <w:sz w:val="21"/>
                      <w:szCs w:val="21"/>
                      <w:highlight w:val="none"/>
                      <w:lang w:val="en-US" w:eastAsia="zh-CN"/>
                    </w:rPr>
                  </w:pPr>
                  <w:r>
                    <w:rPr>
                      <w:rFonts w:hint="eastAsia" w:cs="Times New Roman"/>
                      <w:color w:val="FF0000"/>
                      <w:sz w:val="21"/>
                      <w:szCs w:val="21"/>
                      <w:highlight w:val="none"/>
                      <w:lang w:val="en-US" w:eastAsia="zh-CN"/>
                    </w:rPr>
                    <w:t>1F食堂，建筑面积约200m</w:t>
                  </w:r>
                  <w:r>
                    <w:rPr>
                      <w:rFonts w:hint="eastAsia" w:cs="Times New Roman"/>
                      <w:color w:val="FF0000"/>
                      <w:sz w:val="21"/>
                      <w:szCs w:val="21"/>
                      <w:highlight w:val="none"/>
                      <w:vertAlign w:val="superscript"/>
                      <w:lang w:val="en-US" w:eastAsia="zh-CN"/>
                    </w:rPr>
                    <w:t>2</w:t>
                  </w:r>
                </w:p>
              </w:tc>
              <w:tc>
                <w:tcPr>
                  <w:tcW w:w="862" w:type="pct"/>
                  <w:vAlign w:val="center"/>
                </w:tcPr>
                <w:p>
                  <w:pPr>
                    <w:keepNext w:val="0"/>
                    <w:keepLines w:val="0"/>
                    <w:suppressLineNumbers w:val="0"/>
                    <w:spacing w:before="0" w:beforeAutospacing="0" w:after="0" w:afterAutospacing="0"/>
                    <w:ind w:left="0" w:leftChars="0" w:right="0" w:rightChars="0"/>
                    <w:jc w:val="center"/>
                    <w:rPr>
                      <w:rFonts w:hint="default"/>
                      <w:bCs/>
                      <w:color w:val="FF0000"/>
                      <w:sz w:val="21"/>
                      <w:szCs w:val="21"/>
                      <w:highlight w:val="none"/>
                      <w:lang w:val="en-US" w:eastAsia="zh-CN"/>
                    </w:rPr>
                  </w:pPr>
                  <w:r>
                    <w:rPr>
                      <w:rFonts w:hint="eastAsia" w:cs="Times New Roman"/>
                      <w:color w:val="FF0000"/>
                      <w:sz w:val="21"/>
                      <w:szCs w:val="21"/>
                      <w:highlight w:val="none"/>
                      <w:lang w:val="en-US" w:eastAsia="zh-CN"/>
                    </w:rPr>
                    <w:t>3#宿舍未建，只建1层食堂，面积约200m</w:t>
                  </w:r>
                  <w:r>
                    <w:rPr>
                      <w:rFonts w:hint="eastAsia" w:cs="Times New Roman"/>
                      <w:color w:val="FF0000"/>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8" w:type="pct"/>
                  <w:vMerge w:val="continue"/>
                  <w:vAlign w:val="center"/>
                </w:tcPr>
                <w:p>
                  <w:pPr>
                    <w:jc w:val="center"/>
                    <w:rPr>
                      <w:rFonts w:hint="eastAsia"/>
                      <w:bCs/>
                      <w:color w:val="000000" w:themeColor="text1"/>
                      <w:sz w:val="21"/>
                      <w:szCs w:val="21"/>
                      <w:highlight w:val="none"/>
                      <w:lang w:val="en-US" w:eastAsia="zh-CN"/>
                      <w14:textFill>
                        <w14:solidFill>
                          <w14:schemeClr w14:val="tx1"/>
                        </w14:solidFill>
                      </w14:textFill>
                    </w:rPr>
                  </w:pPr>
                </w:p>
              </w:tc>
              <w:tc>
                <w:tcPr>
                  <w:tcW w:w="48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门卫</w:t>
                  </w:r>
                </w:p>
              </w:tc>
              <w:tc>
                <w:tcPr>
                  <w:tcW w:w="171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用于员工行政办公</w:t>
                  </w:r>
                </w:p>
              </w:tc>
              <w:tc>
                <w:tcPr>
                  <w:tcW w:w="1610" w:type="pct"/>
                  <w:vAlign w:val="center"/>
                </w:tcPr>
                <w:p>
                  <w:pPr>
                    <w:keepNext w:val="0"/>
                    <w:keepLines w:val="0"/>
                    <w:suppressLineNumbers w:val="0"/>
                    <w:spacing w:before="0" w:beforeAutospacing="0" w:after="0" w:afterAutospacing="0"/>
                    <w:ind w:left="0" w:leftChars="0" w:right="0" w:rightChars="0"/>
                    <w:jc w:val="center"/>
                    <w:rPr>
                      <w:rFonts w:hint="default"/>
                      <w:bCs/>
                      <w:color w:val="FF0000"/>
                      <w:sz w:val="21"/>
                      <w:szCs w:val="21"/>
                      <w:highlight w:val="none"/>
                      <w:lang w:val="en-US" w:eastAsia="zh-CN"/>
                    </w:rPr>
                  </w:pPr>
                  <w:r>
                    <w:rPr>
                      <w:rFonts w:hint="eastAsia" w:cs="Times New Roman"/>
                      <w:color w:val="FF0000"/>
                      <w:sz w:val="21"/>
                      <w:szCs w:val="21"/>
                      <w:highlight w:val="none"/>
                      <w:lang w:val="en-US" w:eastAsia="zh-CN"/>
                    </w:rPr>
                    <w:t>未建</w:t>
                  </w:r>
                </w:p>
              </w:tc>
              <w:tc>
                <w:tcPr>
                  <w:tcW w:w="862" w:type="pct"/>
                  <w:vAlign w:val="center"/>
                </w:tcPr>
                <w:p>
                  <w:pPr>
                    <w:keepNext w:val="0"/>
                    <w:keepLines w:val="0"/>
                    <w:suppressLineNumbers w:val="0"/>
                    <w:spacing w:before="0" w:beforeAutospacing="0" w:after="0" w:afterAutospacing="0"/>
                    <w:ind w:left="0" w:leftChars="0" w:right="0" w:rightChars="0"/>
                    <w:jc w:val="center"/>
                    <w:rPr>
                      <w:rFonts w:hint="eastAsia"/>
                      <w:bCs/>
                      <w:color w:val="FF0000"/>
                      <w:sz w:val="21"/>
                      <w:szCs w:val="21"/>
                      <w:highlight w:val="none"/>
                      <w:lang w:val="en-US" w:eastAsia="zh-CN"/>
                    </w:rPr>
                  </w:pPr>
                  <w:r>
                    <w:rPr>
                      <w:rFonts w:hint="eastAsia" w:cs="Times New Roman"/>
                      <w:color w:val="FF0000"/>
                      <w:sz w:val="21"/>
                      <w:szCs w:val="21"/>
                      <w:highlight w:val="none"/>
                      <w:lang w:val="en-US" w:eastAsia="zh-CN"/>
                    </w:rPr>
                    <w:t>门卫未建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 w:type="pct"/>
                  <w:vMerge w:val="restar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公用</w:t>
                  </w:r>
                </w:p>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工程</w:t>
                  </w:r>
                </w:p>
              </w:tc>
              <w:tc>
                <w:tcPr>
                  <w:tcW w:w="48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1719"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1610" w:type="pct"/>
                  <w:vAlign w:val="center"/>
                </w:tcPr>
                <w:p>
                  <w:pPr>
                    <w:keepNext w:val="0"/>
                    <w:keepLines w:val="0"/>
                    <w:suppressLineNumbers w:val="0"/>
                    <w:spacing w:before="0" w:beforeAutospacing="0" w:after="0" w:afterAutospacing="0"/>
                    <w:ind w:left="0" w:leftChars="0" w:right="0" w:right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86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 w:type="pct"/>
                  <w:vMerge w:val="continue"/>
                  <w:tcBorders/>
                  <w:vAlign w:val="center"/>
                </w:tcPr>
                <w:p>
                  <w:pPr>
                    <w:jc w:val="center"/>
                    <w:rPr>
                      <w:rFonts w:hint="eastAsia"/>
                      <w:bCs/>
                      <w:color w:val="000000" w:themeColor="text1"/>
                      <w:sz w:val="21"/>
                      <w:szCs w:val="21"/>
                      <w:highlight w:val="none"/>
                      <w:lang w:val="en-US" w:eastAsia="zh-CN"/>
                      <w14:textFill>
                        <w14:solidFill>
                          <w14:schemeClr w14:val="tx1"/>
                        </w14:solidFill>
                      </w14:textFill>
                    </w:rPr>
                  </w:pPr>
                </w:p>
              </w:tc>
              <w:tc>
                <w:tcPr>
                  <w:tcW w:w="48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171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雨污分流制</w:t>
                  </w:r>
                </w:p>
              </w:tc>
              <w:tc>
                <w:tcPr>
                  <w:tcW w:w="1610"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雨污分流制</w:t>
                  </w:r>
                </w:p>
              </w:tc>
              <w:tc>
                <w:tcPr>
                  <w:tcW w:w="86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 w:type="pct"/>
                  <w:vMerge w:val="continue"/>
                  <w:tcBorders/>
                  <w:vAlign w:val="center"/>
                </w:tcPr>
                <w:p>
                  <w:pPr>
                    <w:jc w:val="center"/>
                    <w:rPr>
                      <w:rFonts w:hint="eastAsia"/>
                      <w:bCs/>
                      <w:color w:val="000000" w:themeColor="text1"/>
                      <w:sz w:val="21"/>
                      <w:szCs w:val="21"/>
                      <w:highlight w:val="none"/>
                      <w:lang w:val="en-US" w:eastAsia="zh-CN"/>
                      <w14:textFill>
                        <w14:solidFill>
                          <w14:schemeClr w14:val="tx1"/>
                        </w14:solidFill>
                      </w14:textFill>
                    </w:rPr>
                  </w:pPr>
                </w:p>
              </w:tc>
              <w:tc>
                <w:tcPr>
                  <w:tcW w:w="48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171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1610"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862" w:type="pct"/>
                  <w:vAlign w:val="center"/>
                </w:tcPr>
                <w:p>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 w:type="pct"/>
                  <w:vMerge w:val="continue"/>
                  <w:tcBorders/>
                  <w:vAlign w:val="center"/>
                </w:tcPr>
                <w:p>
                  <w:pPr>
                    <w:jc w:val="center"/>
                    <w:rPr>
                      <w:rFonts w:hint="eastAsia"/>
                      <w:bCs/>
                      <w:color w:val="000000" w:themeColor="text1"/>
                      <w:sz w:val="21"/>
                      <w:szCs w:val="21"/>
                      <w:highlight w:val="none"/>
                      <w:lang w:val="en-US" w:eastAsia="zh-CN"/>
                      <w14:textFill>
                        <w14:solidFill>
                          <w14:schemeClr w14:val="tx1"/>
                        </w14:solidFill>
                      </w14:textFill>
                    </w:rPr>
                  </w:pPr>
                </w:p>
              </w:tc>
              <w:tc>
                <w:tcPr>
                  <w:tcW w:w="48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eastAsia" w:ascii="Times New Roman" w:hAnsi="Times New Roman" w:eastAsia="宋体" w:cs="Times New Roman"/>
                      <w:color w:val="FF0000"/>
                      <w:sz w:val="21"/>
                      <w:szCs w:val="21"/>
                      <w:lang w:eastAsia="zh-CN"/>
                    </w:rPr>
                  </w:pPr>
                  <w:r>
                    <w:rPr>
                      <w:rFonts w:hint="eastAsia" w:cs="Times New Roman"/>
                      <w:color w:val="FF0000"/>
                      <w:sz w:val="21"/>
                      <w:szCs w:val="21"/>
                      <w:lang w:eastAsia="zh-CN"/>
                    </w:rPr>
                    <w:t>供汽</w:t>
                  </w:r>
                </w:p>
              </w:tc>
              <w:tc>
                <w:tcPr>
                  <w:tcW w:w="1719"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1610" w:type="pct"/>
                  <w:vAlign w:val="center"/>
                </w:tcPr>
                <w:p>
                  <w:pPr>
                    <w:pStyle w:val="95"/>
                    <w:keepNext w:val="0"/>
                    <w:keepLines w:val="0"/>
                    <w:suppressLineNumbers w:val="0"/>
                    <w:spacing w:before="0" w:beforeAutospacing="0" w:after="0" w:afterAutospacing="0" w:line="240" w:lineRule="auto"/>
                    <w:ind w:left="0" w:leftChars="0" w:firstLine="0" w:firstLineChars="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国能丰城工业发展有限公司供汽</w:t>
                  </w:r>
                </w:p>
              </w:tc>
              <w:tc>
                <w:tcPr>
                  <w:tcW w:w="862" w:type="pct"/>
                  <w:vAlign w:val="center"/>
                </w:tcPr>
                <w:p>
                  <w:pPr>
                    <w:jc w:val="center"/>
                    <w:rPr>
                      <w:rFonts w:hint="eastAsia"/>
                      <w:bCs/>
                      <w:color w:val="FF0000"/>
                      <w:sz w:val="21"/>
                      <w:szCs w:val="21"/>
                      <w:highlight w:val="none"/>
                      <w:lang w:val="en-US" w:eastAsia="zh-CN"/>
                    </w:rPr>
                  </w:pPr>
                  <w:r>
                    <w:rPr>
                      <w:rFonts w:hint="eastAsia" w:cs="Times New Roman"/>
                      <w:color w:val="FF0000"/>
                      <w:sz w:val="21"/>
                      <w:szCs w:val="21"/>
                      <w:lang w:val="en-US" w:eastAsia="zh-CN"/>
                    </w:rPr>
                    <w:t>+国能丰城工业发展有限公司供汽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18" w:type="pct"/>
                  <w:vMerge w:val="restar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环保</w:t>
                  </w:r>
                </w:p>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工程</w:t>
                  </w:r>
                </w:p>
              </w:tc>
              <w:tc>
                <w:tcPr>
                  <w:tcW w:w="489" w:type="pct"/>
                  <w:vAlign w:val="center"/>
                </w:tcPr>
                <w:p>
                  <w:pPr>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废水</w:t>
                  </w:r>
                </w:p>
              </w:tc>
              <w:tc>
                <w:tcPr>
                  <w:tcW w:w="1719" w:type="pct"/>
                  <w:vAlign w:val="center"/>
                </w:tcPr>
                <w:p>
                  <w:pPr>
                    <w:jc w:val="center"/>
                    <w:rPr>
                      <w:rFonts w:hint="default"/>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依托</w:t>
                  </w:r>
                  <w:r>
                    <w:rPr>
                      <w:rFonts w:hint="default" w:ascii="Times New Roman"/>
                      <w:bCs/>
                      <w:color w:val="000000" w:themeColor="text1"/>
                      <w:sz w:val="21"/>
                      <w:szCs w:val="21"/>
                      <w14:textFill>
                        <w14:solidFill>
                          <w14:schemeClr w14:val="tx1"/>
                        </w14:solidFill>
                      </w14:textFill>
                    </w:rPr>
                    <w:t>江西恒顶食品有限公司污水处理站</w:t>
                  </w:r>
                  <w:r>
                    <w:rPr>
                      <w:rFonts w:hint="eastAsia" w:ascii="Times New Roman"/>
                      <w:bCs/>
                      <w:color w:val="000000" w:themeColor="text1"/>
                      <w:sz w:val="21"/>
                      <w:szCs w:val="21"/>
                      <w:lang w:val="en-US" w:eastAsia="zh-CN"/>
                      <w14:textFill>
                        <w14:solidFill>
                          <w14:schemeClr w14:val="tx1"/>
                        </w14:solidFill>
                      </w14:textFill>
                    </w:rPr>
                    <w:t>处理（4000m</w:t>
                  </w:r>
                  <w:r>
                    <w:rPr>
                      <w:rFonts w:hint="eastAsia" w:ascii="Times New Roman"/>
                      <w:bCs/>
                      <w:color w:val="000000" w:themeColor="text1"/>
                      <w:sz w:val="21"/>
                      <w:szCs w:val="21"/>
                      <w:vertAlign w:val="superscript"/>
                      <w:lang w:val="en-US" w:eastAsia="zh-CN"/>
                      <w14:textFill>
                        <w14:solidFill>
                          <w14:schemeClr w14:val="tx1"/>
                        </w14:solidFill>
                      </w14:textFill>
                    </w:rPr>
                    <w:t>3</w:t>
                  </w:r>
                  <w:r>
                    <w:rPr>
                      <w:rFonts w:hint="eastAsia" w:ascii="Times New Roman"/>
                      <w:bCs/>
                      <w:color w:val="000000" w:themeColor="text1"/>
                      <w:sz w:val="21"/>
                      <w:szCs w:val="21"/>
                      <w:vertAlign w:val="baseline"/>
                      <w:lang w:val="en-US" w:eastAsia="zh-CN"/>
                      <w14:textFill>
                        <w14:solidFill>
                          <w14:schemeClr w14:val="tx1"/>
                        </w14:solidFill>
                      </w14:textFill>
                    </w:rPr>
                    <w:t>/d</w:t>
                  </w:r>
                  <w:r>
                    <w:rPr>
                      <w:rFonts w:hint="eastAsia" w:ascii="Times New Roman"/>
                      <w:bCs/>
                      <w:color w:val="000000" w:themeColor="text1"/>
                      <w:sz w:val="21"/>
                      <w:szCs w:val="21"/>
                      <w:lang w:val="en-US" w:eastAsia="zh-CN"/>
                      <w14:textFill>
                        <w14:solidFill>
                          <w14:schemeClr w14:val="tx1"/>
                        </w14:solidFill>
                      </w14:textFill>
                    </w:rPr>
                    <w:t>）</w:t>
                  </w:r>
                </w:p>
              </w:tc>
              <w:tc>
                <w:tcPr>
                  <w:tcW w:w="1610"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依托</w:t>
                  </w:r>
                  <w:r>
                    <w:rPr>
                      <w:rFonts w:hint="default" w:ascii="Times New Roman"/>
                      <w:bCs/>
                      <w:color w:val="000000" w:themeColor="text1"/>
                      <w:sz w:val="21"/>
                      <w:szCs w:val="21"/>
                      <w14:textFill>
                        <w14:solidFill>
                          <w14:schemeClr w14:val="tx1"/>
                        </w14:solidFill>
                      </w14:textFill>
                    </w:rPr>
                    <w:t>江西恒顶食品有限公司污水处理站</w:t>
                  </w:r>
                  <w:r>
                    <w:rPr>
                      <w:rFonts w:hint="eastAsia" w:ascii="Times New Roman"/>
                      <w:bCs/>
                      <w:color w:val="000000" w:themeColor="text1"/>
                      <w:sz w:val="21"/>
                      <w:szCs w:val="21"/>
                      <w:lang w:val="en-US" w:eastAsia="zh-CN"/>
                      <w14:textFill>
                        <w14:solidFill>
                          <w14:schemeClr w14:val="tx1"/>
                        </w14:solidFill>
                      </w14:textFill>
                    </w:rPr>
                    <w:t>处理（4000m</w:t>
                  </w:r>
                  <w:r>
                    <w:rPr>
                      <w:rFonts w:hint="eastAsia" w:ascii="Times New Roman"/>
                      <w:bCs/>
                      <w:color w:val="000000" w:themeColor="text1"/>
                      <w:sz w:val="21"/>
                      <w:szCs w:val="21"/>
                      <w:vertAlign w:val="superscript"/>
                      <w:lang w:val="en-US" w:eastAsia="zh-CN"/>
                      <w14:textFill>
                        <w14:solidFill>
                          <w14:schemeClr w14:val="tx1"/>
                        </w14:solidFill>
                      </w14:textFill>
                    </w:rPr>
                    <w:t>3</w:t>
                  </w:r>
                  <w:r>
                    <w:rPr>
                      <w:rFonts w:hint="eastAsia" w:ascii="Times New Roman"/>
                      <w:bCs/>
                      <w:color w:val="000000" w:themeColor="text1"/>
                      <w:sz w:val="21"/>
                      <w:szCs w:val="21"/>
                      <w:vertAlign w:val="baseline"/>
                      <w:lang w:val="en-US" w:eastAsia="zh-CN"/>
                      <w14:textFill>
                        <w14:solidFill>
                          <w14:schemeClr w14:val="tx1"/>
                        </w14:solidFill>
                      </w14:textFill>
                    </w:rPr>
                    <w:t>/d</w:t>
                  </w:r>
                  <w:r>
                    <w:rPr>
                      <w:rFonts w:hint="eastAsia" w:ascii="Times New Roman"/>
                      <w:bCs/>
                      <w:color w:val="000000" w:themeColor="text1"/>
                      <w:sz w:val="21"/>
                      <w:szCs w:val="21"/>
                      <w:lang w:val="en-US" w:eastAsia="zh-CN"/>
                      <w14:textFill>
                        <w14:solidFill>
                          <w14:schemeClr w14:val="tx1"/>
                        </w14:solidFill>
                      </w14:textFill>
                    </w:rPr>
                    <w:t>）</w:t>
                  </w:r>
                </w:p>
              </w:tc>
              <w:tc>
                <w:tcPr>
                  <w:tcW w:w="862"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18" w:type="pct"/>
                  <w:vMerge w:val="continue"/>
                  <w:vAlign w:val="center"/>
                </w:tcPr>
                <w:p>
                  <w:pPr>
                    <w:jc w:val="center"/>
                    <w:rPr>
                      <w:rFonts w:hint="eastAsia"/>
                      <w:color w:val="000000" w:themeColor="text1"/>
                      <w:highlight w:val="none"/>
                      <w:lang w:eastAsia="zh-CN"/>
                      <w14:textFill>
                        <w14:solidFill>
                          <w14:schemeClr w14:val="tx1"/>
                        </w14:solidFill>
                      </w14:textFill>
                    </w:rPr>
                  </w:pPr>
                </w:p>
              </w:tc>
              <w:tc>
                <w:tcPr>
                  <w:tcW w:w="489" w:type="pct"/>
                  <w:vAlign w:val="center"/>
                </w:tcPr>
                <w:p>
                  <w:pPr>
                    <w:jc w:val="center"/>
                    <w:rPr>
                      <w:rFonts w:hint="default"/>
                      <w:color w:val="000000" w:themeColor="text1"/>
                      <w:highlight w:val="none"/>
                      <w:lang w:eastAsia="zh-CN"/>
                      <w14:textFill>
                        <w14:solidFill>
                          <w14:schemeClr w14:val="tx1"/>
                        </w14:solidFill>
                      </w14:textFill>
                    </w:rPr>
                  </w:pPr>
                  <w:r>
                    <w:rPr>
                      <w:rFonts w:hint="default"/>
                      <w:color w:val="000000" w:themeColor="text1"/>
                      <w:highlight w:val="none"/>
                      <w:lang w:eastAsia="zh-CN"/>
                      <w14:textFill>
                        <w14:solidFill>
                          <w14:schemeClr w14:val="tx1"/>
                        </w14:solidFill>
                      </w14:textFill>
                    </w:rPr>
                    <w:t>废气</w:t>
                  </w:r>
                </w:p>
              </w:tc>
              <w:tc>
                <w:tcPr>
                  <w:tcW w:w="1719"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集气罩+布袋除尘器+15m高排气筒（DA001）</w:t>
                  </w:r>
                </w:p>
              </w:tc>
              <w:tc>
                <w:tcPr>
                  <w:tcW w:w="1610"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集气罩+布袋除尘器+15m高排气筒（DA001）</w:t>
                  </w:r>
                </w:p>
              </w:tc>
              <w:tc>
                <w:tcPr>
                  <w:tcW w:w="862"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8" w:type="pct"/>
                  <w:vMerge w:val="continue"/>
                  <w:vAlign w:val="center"/>
                </w:tcPr>
                <w:p>
                  <w:pPr>
                    <w:jc w:val="center"/>
                    <w:rPr>
                      <w:rFonts w:hint="eastAsia"/>
                      <w:color w:val="000000" w:themeColor="text1"/>
                      <w:highlight w:val="none"/>
                      <w:lang w:eastAsia="zh-CN"/>
                      <w14:textFill>
                        <w14:solidFill>
                          <w14:schemeClr w14:val="tx1"/>
                        </w14:solidFill>
                      </w14:textFill>
                    </w:rPr>
                  </w:pPr>
                </w:p>
              </w:tc>
              <w:tc>
                <w:tcPr>
                  <w:tcW w:w="489" w:type="pct"/>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719" w:type="pct"/>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选用低噪声设备、室内布置设备，采取消声、隔声等措施。</w:t>
                  </w:r>
                </w:p>
              </w:tc>
              <w:tc>
                <w:tcPr>
                  <w:tcW w:w="1610" w:type="pct"/>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选用低噪声设备、室内布置设备，采取消声、隔声等措施。</w:t>
                  </w:r>
                </w:p>
              </w:tc>
              <w:tc>
                <w:tcPr>
                  <w:tcW w:w="862" w:type="pct"/>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18" w:type="pct"/>
                  <w:vMerge w:val="continue"/>
                  <w:vAlign w:val="center"/>
                </w:tcPr>
                <w:p>
                  <w:pPr>
                    <w:jc w:val="center"/>
                    <w:rPr>
                      <w:rFonts w:hint="eastAsia"/>
                      <w:color w:val="000000" w:themeColor="text1"/>
                      <w:highlight w:val="none"/>
                      <w:lang w:eastAsia="zh-CN"/>
                      <w14:textFill>
                        <w14:solidFill>
                          <w14:schemeClr w14:val="tx1"/>
                        </w14:solidFill>
                      </w14:textFill>
                    </w:rPr>
                  </w:pPr>
                </w:p>
              </w:tc>
              <w:tc>
                <w:tcPr>
                  <w:tcW w:w="489"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固体</w:t>
                  </w:r>
                </w:p>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废物</w:t>
                  </w:r>
                </w:p>
              </w:tc>
              <w:tc>
                <w:tcPr>
                  <w:tcW w:w="1719" w:type="pct"/>
                  <w:vAlign w:val="center"/>
                </w:tcPr>
                <w:p>
                  <w:pPr>
                    <w:widowControl/>
                    <w:jc w:val="left"/>
                    <w:rPr>
                      <w:rFonts w:hint="default"/>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建筑面积约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，存放一般固体废物</w:t>
                  </w:r>
                </w:p>
              </w:tc>
              <w:tc>
                <w:tcPr>
                  <w:tcW w:w="1610" w:type="pct"/>
                  <w:vAlign w:val="center"/>
                </w:tcPr>
                <w:p>
                  <w:pPr>
                    <w:widowControl/>
                    <w:jc w:val="left"/>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建筑面积约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，存放一般固体废物</w:t>
                  </w:r>
                </w:p>
              </w:tc>
              <w:tc>
                <w:tcPr>
                  <w:tcW w:w="862"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无</w:t>
                  </w:r>
                </w:p>
              </w:tc>
            </w:tr>
          </w:tbl>
          <w:p>
            <w:pPr>
              <w:pStyle w:val="90"/>
              <w:rPr>
                <w:color w:val="000000" w:themeColor="text1"/>
                <w:szCs w:val="24"/>
                <w14:textFill>
                  <w14:solidFill>
                    <w14:schemeClr w14:val="tx1"/>
                  </w14:solidFill>
                </w14:textFill>
              </w:rPr>
            </w:pPr>
            <w:r>
              <w:rPr>
                <w:rFonts w:hint="eastAsia"/>
                <w:color w:val="000000" w:themeColor="text1"/>
                <w:szCs w:val="24"/>
                <w:lang w:eastAsia="zh-CN"/>
                <w14:textFill>
                  <w14:solidFill>
                    <w14:schemeClr w14:val="tx1"/>
                  </w14:solidFill>
                </w14:textFill>
              </w:rPr>
              <w:t xml:space="preserve"> </w:t>
            </w:r>
            <w:r>
              <w:rPr>
                <w:rFonts w:hint="eastAsia"/>
                <w:color w:val="000000" w:themeColor="text1"/>
                <w:szCs w:val="24"/>
                <w:lang w:val="en-US" w:eastAsia="zh-CN"/>
                <w14:textFill>
                  <w14:solidFill>
                    <w14:schemeClr w14:val="tx1"/>
                  </w14:solidFill>
                </w14:textFill>
              </w:rPr>
              <w:t xml:space="preserve">  </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）劳动定员及工作制度</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本项目劳动定员</w:t>
            </w:r>
            <w:r>
              <w:rPr>
                <w:rFonts w:hint="eastAsia"/>
                <w:color w:val="000000" w:themeColor="text1"/>
                <w:sz w:val="24"/>
                <w:szCs w:val="24"/>
                <w:lang w:val="en-US" w:eastAsia="zh-CN"/>
                <w14:textFill>
                  <w14:solidFill>
                    <w14:schemeClr w14:val="tx1"/>
                  </w14:solidFill>
                </w14:textFill>
              </w:rPr>
              <w:t>200</w:t>
            </w:r>
            <w:r>
              <w:rPr>
                <w:color w:val="000000" w:themeColor="text1"/>
                <w:sz w:val="24"/>
                <w:szCs w:val="24"/>
                <w14:textFill>
                  <w14:solidFill>
                    <w14:schemeClr w14:val="tx1"/>
                  </w14:solidFill>
                </w14:textFill>
              </w:rPr>
              <w:t>人</w:t>
            </w:r>
            <w:r>
              <w:rPr>
                <w:rFonts w:hint="eastAsia"/>
                <w:color w:val="000000" w:themeColor="text1"/>
                <w:sz w:val="24"/>
                <w:szCs w:val="24"/>
                <w14:textFill>
                  <w14:solidFill>
                    <w14:schemeClr w14:val="tx1"/>
                  </w14:solidFill>
                </w14:textFill>
              </w:rPr>
              <w:t>，员工工作</w:t>
            </w:r>
            <w:r>
              <w:rPr>
                <w:rFonts w:hint="eastAsia"/>
                <w:color w:val="000000" w:themeColor="text1"/>
                <w:sz w:val="24"/>
                <w:szCs w:val="24"/>
                <w:lang w:val="en-US" w:eastAsia="zh-CN"/>
                <w14:textFill>
                  <w14:solidFill>
                    <w14:schemeClr w14:val="tx1"/>
                  </w14:solidFill>
                </w14:textFill>
              </w:rPr>
              <w:t>300</w:t>
            </w:r>
            <w:r>
              <w:rPr>
                <w:color w:val="000000" w:themeColor="text1"/>
                <w:sz w:val="24"/>
                <w:szCs w:val="24"/>
                <w14:textFill>
                  <w14:solidFill>
                    <w14:schemeClr w14:val="tx1"/>
                  </w14:solidFill>
                </w14:textFill>
              </w:rPr>
              <w:t>天，</w:t>
            </w:r>
            <w:r>
              <w:rPr>
                <w:rFonts w:hint="default" w:ascii="Times New Roman"/>
                <w:bCs/>
                <w:color w:val="000000" w:themeColor="text1"/>
                <w:sz w:val="24"/>
                <w:szCs w:val="24"/>
                <w14:textFill>
                  <w14:solidFill>
                    <w14:schemeClr w14:val="tx1"/>
                  </w14:solidFill>
                </w14:textFill>
              </w:rPr>
              <w:t>每天三班，一班工作8小时</w:t>
            </w:r>
            <w:r>
              <w:rPr>
                <w:color w:val="000000" w:themeColor="text1"/>
                <w:sz w:val="24"/>
                <w:szCs w:val="24"/>
                <w14:textFill>
                  <w14:solidFill>
                    <w14:schemeClr w14:val="tx1"/>
                  </w14:solidFill>
                </w14:textFill>
              </w:rPr>
              <w:t>。</w:t>
            </w:r>
          </w:p>
          <w:p>
            <w:pPr>
              <w:pStyle w:val="90"/>
              <w:keepNext w:val="0"/>
              <w:keepLines w:val="0"/>
              <w:pageBreakBefore w:val="0"/>
              <w:kinsoku/>
              <w:wordWrap/>
              <w:overflowPunct/>
              <w:topLinePunct w:val="0"/>
              <w:autoSpaceDE/>
              <w:autoSpaceDN/>
              <w:bidi w:val="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（4）项目主要工艺设备明细表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bCs/>
                <w:color w:val="000000" w:themeColor="text1"/>
                <w:sz w:val="18"/>
                <w:szCs w:val="18"/>
                <w14:textFill>
                  <w14:solidFill>
                    <w14:schemeClr w14:val="tx1"/>
                  </w14:solidFill>
                </w14:textFill>
              </w:rPr>
            </w:pPr>
            <w:r>
              <w:rPr>
                <w:color w:val="000000" w:themeColor="text1"/>
                <w:sz w:val="24"/>
                <w:szCs w:val="24"/>
                <w14:textFill>
                  <w14:solidFill>
                    <w14:schemeClr w14:val="tx1"/>
                  </w14:solidFill>
                </w14:textFill>
              </w:rPr>
              <w:t>生产设备情况见</w:t>
            </w:r>
            <w:r>
              <w:rPr>
                <w:rFonts w:hint="eastAsia"/>
                <w:color w:val="000000" w:themeColor="text1"/>
                <w:sz w:val="24"/>
                <w:szCs w:val="24"/>
                <w:lang w:eastAsia="zh-CN"/>
                <w14:textFill>
                  <w14:solidFill>
                    <w14:schemeClr w14:val="tx1"/>
                  </w14:solidFill>
                </w14:textFill>
              </w:rPr>
              <w:t>下表</w:t>
            </w:r>
            <w:r>
              <w:rPr>
                <w:color w:val="000000" w:themeColor="text1"/>
                <w:sz w:val="24"/>
                <w:szCs w:val="24"/>
                <w14:textFill>
                  <w14:solidFill>
                    <w14:schemeClr w14:val="tx1"/>
                  </w14:solidFill>
                </w14:textFill>
              </w:rPr>
              <w:t>。</w:t>
            </w:r>
          </w:p>
          <w:p>
            <w:pPr>
              <w:ind w:right="13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表</w:t>
            </w:r>
            <w:r>
              <w:rPr>
                <w:rFonts w:hint="eastAsia"/>
                <w:b/>
                <w:bCs/>
                <w:color w:val="000000" w:themeColor="text1"/>
                <w:sz w:val="18"/>
                <w:szCs w:val="18"/>
                <w14:textFill>
                  <w14:solidFill>
                    <w14:schemeClr w14:val="tx1"/>
                  </w14:solidFill>
                </w14:textFill>
              </w:rPr>
              <w:t>2-</w:t>
            </w:r>
            <w:r>
              <w:rPr>
                <w:rFonts w:hint="eastAsia"/>
                <w:b/>
                <w:bCs/>
                <w:color w:val="000000" w:themeColor="text1"/>
                <w:sz w:val="18"/>
                <w:szCs w:val="18"/>
                <w:lang w:val="en-US" w:eastAsia="zh-CN"/>
                <w14:textFill>
                  <w14:solidFill>
                    <w14:schemeClr w14:val="tx1"/>
                  </w14:solidFill>
                </w14:textFill>
              </w:rPr>
              <w:t>5</w:t>
            </w:r>
            <w:r>
              <w:rPr>
                <w:b/>
                <w:bCs/>
                <w:color w:val="000000" w:themeColor="text1"/>
                <w:sz w:val="18"/>
                <w:szCs w:val="18"/>
                <w14:textFill>
                  <w14:solidFill>
                    <w14:schemeClr w14:val="tx1"/>
                  </w14:solidFill>
                </w14:textFill>
              </w:rPr>
              <w:t xml:space="preserve"> </w:t>
            </w:r>
            <w:r>
              <w:rPr>
                <w:rFonts w:hint="eastAsia"/>
                <w:b/>
                <w:bCs/>
                <w:color w:val="000000" w:themeColor="text1"/>
                <w:sz w:val="18"/>
                <w:szCs w:val="18"/>
                <w14:textFill>
                  <w14:solidFill>
                    <w14:schemeClr w14:val="tx1"/>
                  </w14:solidFill>
                </w14:textFill>
              </w:rPr>
              <w:t>本</w:t>
            </w:r>
            <w:r>
              <w:rPr>
                <w:b/>
                <w:bCs/>
                <w:color w:val="000000" w:themeColor="text1"/>
                <w:sz w:val="18"/>
                <w:szCs w:val="18"/>
                <w14:textFill>
                  <w14:solidFill>
                    <w14:schemeClr w14:val="tx1"/>
                  </w14:solidFill>
                </w14:textFill>
              </w:rPr>
              <w:t>项目生产设备一览表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621"/>
              <w:gridCol w:w="1595"/>
              <w:gridCol w:w="1066"/>
              <w:gridCol w:w="1595"/>
              <w:gridCol w:w="1482"/>
              <w:gridCol w:w="12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序号</w:t>
                  </w:r>
                </w:p>
              </w:tc>
              <w:tc>
                <w:tcPr>
                  <w:tcW w:w="861"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生产设施</w:t>
                  </w:r>
                </w:p>
              </w:tc>
              <w:tc>
                <w:tcPr>
                  <w:tcW w:w="847"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环评及批复型号</w:t>
                  </w:r>
                </w:p>
              </w:tc>
              <w:tc>
                <w:tcPr>
                  <w:tcW w:w="566"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环评及批复数量（台）</w:t>
                  </w:r>
                </w:p>
              </w:tc>
              <w:tc>
                <w:tcPr>
                  <w:tcW w:w="847"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实际型号</w:t>
                  </w:r>
                </w:p>
              </w:tc>
              <w:tc>
                <w:tcPr>
                  <w:tcW w:w="787"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实际数量（台）</w:t>
                  </w:r>
                </w:p>
              </w:tc>
              <w:tc>
                <w:tcPr>
                  <w:tcW w:w="667"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变化情况（台）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膨化谷物粉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粉碎机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566"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787"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膨化配料系统</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15012KW</w:t>
                  </w:r>
                </w:p>
              </w:tc>
              <w:tc>
                <w:tcPr>
                  <w:tcW w:w="566"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15012KW</w:t>
                  </w:r>
                </w:p>
              </w:tc>
              <w:tc>
                <w:tcPr>
                  <w:tcW w:w="787"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膨化机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温度：150</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，处理能力：0.348t/h，容积834m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566"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温度：150</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，处理能力：0.348t/h，容积834m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787"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粉碎机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566"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787"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封口机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w:t>
                  </w:r>
                </w:p>
              </w:tc>
              <w:tc>
                <w:tcPr>
                  <w:tcW w:w="566" w:type="pct"/>
                  <w:vAlign w:val="center"/>
                </w:tcPr>
                <w:p>
                  <w:pPr>
                    <w:snapToGrid w:val="0"/>
                    <w:jc w:val="center"/>
                    <w:rPr>
                      <w:rFonts w:hint="default"/>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1</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w:t>
                  </w:r>
                </w:p>
              </w:tc>
              <w:tc>
                <w:tcPr>
                  <w:tcW w:w="787" w:type="pct"/>
                  <w:vAlign w:val="center"/>
                </w:tcPr>
                <w:p>
                  <w:pPr>
                    <w:snapToGrid w:val="0"/>
                    <w:jc w:val="center"/>
                    <w:rPr>
                      <w:rFonts w:hint="eastAsia"/>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1</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预糊</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谷物粉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粉碎机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5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78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预糊化</w:t>
                  </w:r>
                  <w:r>
                    <w:rPr>
                      <w:rFonts w:hint="default" w:ascii="Times New Roman" w:hAnsi="Times New Roman" w:cs="Times New Roman"/>
                      <w:color w:val="000000" w:themeColor="text1"/>
                      <w:sz w:val="21"/>
                      <w:szCs w:val="21"/>
                      <w14:textFill>
                        <w14:solidFill>
                          <w14:schemeClr w14:val="tx1"/>
                        </w14:solidFill>
                      </w14:textFill>
                    </w:rPr>
                    <w:t>配料系统</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15012KW</w:t>
                  </w:r>
                </w:p>
              </w:tc>
              <w:tc>
                <w:tcPr>
                  <w:tcW w:w="5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15012KW</w:t>
                  </w:r>
                </w:p>
              </w:tc>
              <w:tc>
                <w:tcPr>
                  <w:tcW w:w="78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滚筒干燥机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温度：150</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，处理能力：0.348t/h，容积834m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5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温度：150</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，处理能力：0.348t/h，容积834m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p>
              </w:tc>
              <w:tc>
                <w:tcPr>
                  <w:tcW w:w="78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423" w:type="pct"/>
                  <w:vAlign w:val="center"/>
                </w:tcPr>
                <w:p>
                  <w:pPr>
                    <w:pStyle w:val="118"/>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粉碎机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566"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1</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7463KW</w:t>
                  </w:r>
                </w:p>
              </w:tc>
              <w:tc>
                <w:tcPr>
                  <w:tcW w:w="787"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1</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423" w:type="pct"/>
                  <w:vAlign w:val="center"/>
                </w:tcPr>
                <w:p>
                  <w:pPr>
                    <w:pStyle w:val="118"/>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封口机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w:t>
                  </w:r>
                </w:p>
              </w:tc>
              <w:tc>
                <w:tcPr>
                  <w:tcW w:w="566"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2</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处理能力：0.348t/h</w:t>
                  </w:r>
                </w:p>
              </w:tc>
              <w:tc>
                <w:tcPr>
                  <w:tcW w:w="787" w:type="pct"/>
                  <w:vAlign w:val="center"/>
                </w:tcPr>
                <w:p>
                  <w:pPr>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2</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5000" w:type="pct"/>
                  <w:gridSpan w:val="7"/>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益生菌发酵物粉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423" w:type="pct"/>
                  <w:vAlign w:val="center"/>
                </w:tcPr>
                <w:p>
                  <w:pPr>
                    <w:pStyle w:val="118"/>
                    <w:rPr>
                      <w:rFonts w:hint="default" w:cs="Times New Roman"/>
                      <w:color w:val="000000" w:themeColor="text1"/>
                      <w:kern w:val="2"/>
                      <w:sz w:val="21"/>
                      <w:szCs w:val="20"/>
                      <w:highlight w:val="none"/>
                      <w:lang w:val="en-US" w:eastAsia="zh-CN" w:bidi="ar-SA"/>
                      <w14:textFill>
                        <w14:solidFill>
                          <w14:schemeClr w14:val="tx1"/>
                        </w14:solidFill>
                      </w14:textFill>
                    </w:rPr>
                  </w:pPr>
                  <w:r>
                    <w:rPr>
                      <w:rFonts w:hint="eastAsia" w:cs="Times New Roman"/>
                      <w:color w:val="000000" w:themeColor="text1"/>
                      <w:kern w:val="2"/>
                      <w:sz w:val="21"/>
                      <w:szCs w:val="20"/>
                      <w:highlight w:val="none"/>
                      <w:lang w:val="en-US" w:eastAsia="zh-CN" w:bidi="ar-SA"/>
                      <w14:textFill>
                        <w14:solidFill>
                          <w14:schemeClr w14:val="tx1"/>
                        </w14:solidFill>
                      </w14:textFill>
                    </w:rPr>
                    <w:t>1</w:t>
                  </w:r>
                </w:p>
              </w:tc>
              <w:tc>
                <w:tcPr>
                  <w:tcW w:w="86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混合机</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8546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3KW</w:t>
                  </w:r>
                </w:p>
              </w:tc>
              <w:tc>
                <w:tcPr>
                  <w:tcW w:w="5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color w:val="000000" w:themeColor="text1"/>
                      <w:sz w:val="18"/>
                      <w:szCs w:val="18"/>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台</w:t>
                  </w:r>
                </w:p>
              </w:tc>
              <w:tc>
                <w:tcPr>
                  <w:tcW w:w="84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8546</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3KW</w:t>
                  </w:r>
                </w:p>
              </w:tc>
              <w:tc>
                <w:tcPr>
                  <w:tcW w:w="787"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台</w:t>
                  </w:r>
                </w:p>
              </w:tc>
              <w:tc>
                <w:tcPr>
                  <w:tcW w:w="667"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bl>
          <w:p>
            <w:pPr>
              <w:spacing w:line="360" w:lineRule="auto"/>
              <w:jc w:val="left"/>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4</w:t>
            </w:r>
            <w:r>
              <w:rPr>
                <w:rFonts w:hint="eastAsia"/>
                <w:b/>
                <w:bCs/>
                <w:color w:val="000000" w:themeColor="text1"/>
                <w:sz w:val="24"/>
                <w:szCs w:val="24"/>
                <w14:textFill>
                  <w14:solidFill>
                    <w14:schemeClr w14:val="tx1"/>
                  </w14:solidFill>
                </w14:textFill>
              </w:rPr>
              <w:t xml:space="preserve"> 主要原辅材料及燃料</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w:t>
            </w:r>
            <w:r>
              <w:rPr>
                <w:rFonts w:hint="eastAsia"/>
                <w:color w:val="000000" w:themeColor="text1"/>
                <w:sz w:val="24"/>
                <w:szCs w:val="24"/>
                <w:lang w:eastAsia="zh-CN"/>
                <w14:textFill>
                  <w14:solidFill>
                    <w14:schemeClr w14:val="tx1"/>
                  </w14:solidFill>
                </w14:textFill>
              </w:rPr>
              <w:t>主要</w:t>
            </w:r>
            <w:r>
              <w:rPr>
                <w:color w:val="000000" w:themeColor="text1"/>
                <w:sz w:val="24"/>
                <w:szCs w:val="24"/>
                <w14:textFill>
                  <w14:solidFill>
                    <w14:schemeClr w14:val="tx1"/>
                  </w14:solidFill>
                </w14:textFill>
              </w:rPr>
              <w:t>原辅材料和能源消耗情况见</w:t>
            </w:r>
            <w:r>
              <w:rPr>
                <w:rFonts w:hint="eastAsia"/>
                <w:color w:val="000000" w:themeColor="text1"/>
                <w:sz w:val="24"/>
                <w:szCs w:val="24"/>
                <w:lang w:eastAsia="zh-CN"/>
                <w14:textFill>
                  <w14:solidFill>
                    <w14:schemeClr w14:val="tx1"/>
                  </w14:solidFill>
                </w14:textFill>
              </w:rPr>
              <w:t>下表</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000000" w:themeColor="text1"/>
                <w:szCs w:val="21"/>
                <w:lang w:val="en-US" w:eastAsia="zh-CN"/>
                <w14:textFill>
                  <w14:solidFill>
                    <w14:schemeClr w14:val="tx1"/>
                  </w14:solidFill>
                </w14:textFill>
              </w:rPr>
            </w:pPr>
            <w:r>
              <w:rPr>
                <w:b/>
                <w:bCs/>
                <w:color w:val="000000" w:themeColor="text1"/>
                <w:sz w:val="18"/>
                <w:szCs w:val="21"/>
                <w14:textFill>
                  <w14:solidFill>
                    <w14:schemeClr w14:val="tx1"/>
                  </w14:solidFill>
                </w14:textFill>
              </w:rPr>
              <w:t>表</w:t>
            </w:r>
            <w:r>
              <w:rPr>
                <w:rFonts w:hint="eastAsia"/>
                <w:b/>
                <w:bCs/>
                <w:color w:val="000000" w:themeColor="text1"/>
                <w:sz w:val="18"/>
                <w:szCs w:val="21"/>
                <w14:textFill>
                  <w14:solidFill>
                    <w14:schemeClr w14:val="tx1"/>
                  </w14:solidFill>
                </w14:textFill>
              </w:rPr>
              <w:t>2-</w:t>
            </w:r>
            <w:r>
              <w:rPr>
                <w:rFonts w:hint="eastAsia"/>
                <w:b/>
                <w:bCs/>
                <w:color w:val="000000" w:themeColor="text1"/>
                <w:sz w:val="18"/>
                <w:szCs w:val="21"/>
                <w:lang w:val="en-US" w:eastAsia="zh-CN"/>
                <w14:textFill>
                  <w14:solidFill>
                    <w14:schemeClr w14:val="tx1"/>
                  </w14:solidFill>
                </w14:textFill>
              </w:rPr>
              <w:t>6</w:t>
            </w:r>
            <w:r>
              <w:rPr>
                <w:b/>
                <w:bCs/>
                <w:color w:val="000000" w:themeColor="text1"/>
                <w:sz w:val="18"/>
                <w:szCs w:val="21"/>
                <w14:textFill>
                  <w14:solidFill>
                    <w14:schemeClr w14:val="tx1"/>
                  </w14:solidFill>
                </w14:textFill>
              </w:rPr>
              <w:t xml:space="preserve"> </w:t>
            </w:r>
            <w:r>
              <w:rPr>
                <w:rFonts w:hint="eastAsia"/>
                <w:b/>
                <w:bCs/>
                <w:color w:val="000000" w:themeColor="text1"/>
                <w:sz w:val="18"/>
                <w:szCs w:val="21"/>
                <w14:textFill>
                  <w14:solidFill>
                    <w14:schemeClr w14:val="tx1"/>
                  </w14:solidFill>
                </w14:textFill>
              </w:rPr>
              <w:t>项目</w:t>
            </w:r>
            <w:r>
              <w:rPr>
                <w:b/>
                <w:bCs/>
                <w:color w:val="000000" w:themeColor="text1"/>
                <w:sz w:val="18"/>
                <w:szCs w:val="21"/>
                <w14:textFill>
                  <w14:solidFill>
                    <w14:schemeClr w14:val="tx1"/>
                  </w14:solidFill>
                </w14:textFill>
              </w:rPr>
              <w:t>原辅材料消耗一览表</w:t>
            </w:r>
            <w:r>
              <w:rPr>
                <w:rFonts w:hint="eastAsia"/>
                <w:b/>
                <w:bCs/>
                <w:color w:val="000000" w:themeColor="text1"/>
                <w:sz w:val="18"/>
                <w:szCs w:val="21"/>
                <w:lang w:eastAsia="zh-CN"/>
                <w14:textFill>
                  <w14:solidFill>
                    <w14:schemeClr w14:val="tx1"/>
                  </w14:solidFill>
                </w14:textFill>
              </w:rPr>
              <w:t>，单位：</w:t>
            </w:r>
            <w:r>
              <w:rPr>
                <w:rFonts w:hint="eastAsia"/>
                <w:b/>
                <w:bCs/>
                <w:color w:val="000000" w:themeColor="text1"/>
                <w:sz w:val="18"/>
                <w:szCs w:val="21"/>
                <w:lang w:val="en-US" w:eastAsia="zh-CN"/>
                <w14:textFill>
                  <w14:solidFill>
                    <w14:schemeClr w14:val="tx1"/>
                  </w14:solidFill>
                </w14:textFill>
              </w:rPr>
              <w:t>t/a</w:t>
            </w:r>
          </w:p>
          <w:tbl>
            <w:tblPr>
              <w:tblStyle w:val="33"/>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474"/>
              <w:gridCol w:w="2389"/>
              <w:gridCol w:w="1900"/>
              <w:gridCol w:w="21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序号</w:t>
                  </w:r>
                </w:p>
              </w:tc>
              <w:tc>
                <w:tcPr>
                  <w:tcW w:w="784"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名称</w:t>
                  </w:r>
                </w:p>
              </w:tc>
              <w:tc>
                <w:tcPr>
                  <w:tcW w:w="1270" w:type="pct"/>
                </w:tcPr>
                <w:p>
                  <w:pPr>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环评</w:t>
                  </w:r>
                  <w:r>
                    <w:rPr>
                      <w:rFonts w:hint="eastAsia"/>
                      <w:color w:val="000000" w:themeColor="text1"/>
                      <w:highlight w:val="none"/>
                      <w:lang w:eastAsia="zh-CN"/>
                      <w14:textFill>
                        <w14:solidFill>
                          <w14:schemeClr w14:val="tx1"/>
                        </w14:solidFill>
                      </w14:textFill>
                    </w:rPr>
                    <w:t>及批复</w:t>
                  </w:r>
                  <w:r>
                    <w:rPr>
                      <w:rFonts w:hint="default"/>
                      <w:color w:val="000000" w:themeColor="text1"/>
                      <w:highlight w:val="none"/>
                      <w14:textFill>
                        <w14:solidFill>
                          <w14:schemeClr w14:val="tx1"/>
                        </w14:solidFill>
                      </w14:textFill>
                    </w:rPr>
                    <w:t>年耗量</w:t>
                  </w:r>
                </w:p>
              </w:tc>
              <w:tc>
                <w:tcPr>
                  <w:tcW w:w="1010" w:type="pct"/>
                </w:tcPr>
                <w:p>
                  <w:pPr>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实际年耗量</w:t>
                  </w:r>
                </w:p>
              </w:tc>
              <w:tc>
                <w:tcPr>
                  <w:tcW w:w="1168" w:type="pct"/>
                  <w:vAlign w:val="center"/>
                </w:tcPr>
                <w:p>
                  <w:pPr>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变化量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00" w:type="pct"/>
                  <w:gridSpan w:val="5"/>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eastAsia"/>
                      <w:color w:val="000000" w:themeColor="text1"/>
                      <w:sz w:val="18"/>
                      <w:szCs w:val="18"/>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膨化谷物粉原辅材料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67"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784"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大米</w:t>
                  </w:r>
                </w:p>
              </w:tc>
              <w:tc>
                <w:tcPr>
                  <w:tcW w:w="1270"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1800吨/年</w:t>
                  </w:r>
                </w:p>
              </w:tc>
              <w:tc>
                <w:tcPr>
                  <w:tcW w:w="1900" w:type="dxa"/>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1800吨/年</w:t>
                  </w:r>
                </w:p>
              </w:tc>
              <w:tc>
                <w:tcPr>
                  <w:tcW w:w="2199" w:type="dxa"/>
                  <w:vAlign w:val="center"/>
                </w:tcPr>
                <w:p>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67" w:type="pct"/>
                  <w:vAlign w:val="center"/>
                </w:tcPr>
                <w:p>
                  <w:pPr>
                    <w:pStyle w:val="118"/>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784"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玉米</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default"/>
                      <w:color w:val="000000" w:themeColor="text1"/>
                      <w:sz w:val="18"/>
                      <w:szCs w:val="18"/>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pStyle w:val="118"/>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燕麦</w:t>
                  </w:r>
                </w:p>
              </w:tc>
              <w:tc>
                <w:tcPr>
                  <w:tcW w:w="1270"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650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650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67" w:type="pct"/>
                  <w:vAlign w:val="center"/>
                </w:tcPr>
                <w:p>
                  <w:pPr>
                    <w:pStyle w:val="118"/>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糙米</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pStyle w:val="118"/>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杂粮</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预糊化谷物粉原辅材料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1</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大米</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1850吨/年</w:t>
                  </w:r>
                </w:p>
              </w:tc>
              <w:tc>
                <w:tcPr>
                  <w:tcW w:w="1900" w:type="dxa"/>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1850吨/年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2</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玉米</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3</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燕麦</w:t>
                  </w:r>
                </w:p>
              </w:tc>
              <w:tc>
                <w:tcPr>
                  <w:tcW w:w="1270" w:type="pct"/>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default"/>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4</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糙米</w:t>
                  </w:r>
                </w:p>
              </w:tc>
              <w:tc>
                <w:tcPr>
                  <w:tcW w:w="1270" w:type="pct"/>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5</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杂粮</w:t>
                  </w:r>
                </w:p>
              </w:tc>
              <w:tc>
                <w:tcPr>
                  <w:tcW w:w="1270" w:type="pct"/>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益生菌发酵谷物粉原辅材料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1</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膨化谷物粉</w:t>
                  </w:r>
                </w:p>
              </w:tc>
              <w:tc>
                <w:tcPr>
                  <w:tcW w:w="1270" w:type="pct"/>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2</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预糊化谷物粉</w:t>
                  </w:r>
                </w:p>
              </w:tc>
              <w:tc>
                <w:tcPr>
                  <w:tcW w:w="1270" w:type="pct"/>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2000</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2000</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3</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益生菌发酵粉</w:t>
                  </w:r>
                </w:p>
              </w:tc>
              <w:tc>
                <w:tcPr>
                  <w:tcW w:w="1270" w:type="pct"/>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501</w:t>
                  </w:r>
                  <w:r>
                    <w:rPr>
                      <w:rFonts w:hint="default"/>
                      <w:color w:val="000000" w:themeColor="text1"/>
                      <w:highlight w:val="none"/>
                      <w14:textFill>
                        <w14:solidFill>
                          <w14:schemeClr w14:val="tx1"/>
                        </w14:solidFill>
                      </w14:textFill>
                    </w:rPr>
                    <w:t>吨/年</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501</w:t>
                  </w:r>
                  <w:r>
                    <w:rPr>
                      <w:rFonts w:hint="default"/>
                      <w:color w:val="000000" w:themeColor="text1"/>
                      <w:highlight w:val="none"/>
                      <w14:textFill>
                        <w14:solidFill>
                          <w14:schemeClr w14:val="tx1"/>
                        </w14:solidFill>
                      </w14:textFill>
                    </w:rPr>
                    <w:t>吨/年</w:t>
                  </w:r>
                </w:p>
              </w:tc>
              <w:tc>
                <w:tcPr>
                  <w:tcW w:w="2199" w:type="dxa"/>
                  <w:vAlign w:val="center"/>
                </w:tcPr>
                <w:p>
                  <w:pPr>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包装材料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1</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纸塑复合袋</w:t>
                  </w:r>
                </w:p>
              </w:tc>
              <w:tc>
                <w:tcPr>
                  <w:tcW w:w="1270"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20万条</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20万条</w:t>
                  </w:r>
                </w:p>
              </w:tc>
              <w:tc>
                <w:tcPr>
                  <w:tcW w:w="1168"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2</w:t>
                  </w:r>
                </w:p>
              </w:tc>
              <w:tc>
                <w:tcPr>
                  <w:tcW w:w="784" w:type="pct"/>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PE内膜</w:t>
                  </w:r>
                </w:p>
              </w:tc>
              <w:tc>
                <w:tcPr>
                  <w:tcW w:w="1270" w:type="pct"/>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20万条</w:t>
                  </w:r>
                </w:p>
              </w:tc>
              <w:tc>
                <w:tcPr>
                  <w:tcW w:w="1900" w:type="dxa"/>
                  <w:vAlign w:val="center"/>
                </w:tcPr>
                <w:p>
                  <w:pPr>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20万条</w:t>
                  </w:r>
                </w:p>
              </w:tc>
              <w:tc>
                <w:tcPr>
                  <w:tcW w:w="1168"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公共消耗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1</w:t>
                  </w:r>
                </w:p>
              </w:tc>
              <w:tc>
                <w:tcPr>
                  <w:tcW w:w="1474"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蒸汽</w:t>
                  </w:r>
                </w:p>
              </w:tc>
              <w:tc>
                <w:tcPr>
                  <w:tcW w:w="2389"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2万t/a</w:t>
                  </w:r>
                </w:p>
              </w:tc>
              <w:tc>
                <w:tcPr>
                  <w:tcW w:w="1900"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2万t/a</w:t>
                  </w:r>
                </w:p>
              </w:tc>
              <w:tc>
                <w:tcPr>
                  <w:tcW w:w="1168"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2</w:t>
                  </w:r>
                </w:p>
              </w:tc>
              <w:tc>
                <w:tcPr>
                  <w:tcW w:w="1474"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电</w:t>
                  </w:r>
                </w:p>
              </w:tc>
              <w:tc>
                <w:tcPr>
                  <w:tcW w:w="2389"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150万</w:t>
                  </w:r>
                  <w:r>
                    <w:rPr>
                      <w:rFonts w:hint="eastAsia"/>
                      <w:color w:val="000000" w:themeColor="text1"/>
                      <w:highlight w:val="none"/>
                      <w:lang w:val="en-US" w:eastAsia="zh-CN"/>
                      <w14:textFill>
                        <w14:solidFill>
                          <w14:schemeClr w14:val="tx1"/>
                        </w14:solidFill>
                      </w14:textFill>
                    </w:rPr>
                    <w:t>kW•h</w:t>
                  </w:r>
                </w:p>
              </w:tc>
              <w:tc>
                <w:tcPr>
                  <w:tcW w:w="1900"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150万</w:t>
                  </w:r>
                  <w:r>
                    <w:rPr>
                      <w:rFonts w:hint="eastAsia"/>
                      <w:color w:val="000000" w:themeColor="text1"/>
                      <w:highlight w:val="none"/>
                      <w:lang w:val="en-US" w:eastAsia="zh-CN"/>
                      <w14:textFill>
                        <w14:solidFill>
                          <w14:schemeClr w14:val="tx1"/>
                        </w14:solidFill>
                      </w14:textFill>
                    </w:rPr>
                    <w:t>kW•h</w:t>
                  </w:r>
                </w:p>
              </w:tc>
              <w:tc>
                <w:tcPr>
                  <w:tcW w:w="1168"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3</w:t>
                  </w:r>
                </w:p>
              </w:tc>
              <w:tc>
                <w:tcPr>
                  <w:tcW w:w="1474"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eastAsia="zh-CN"/>
                      <w14:textFill>
                        <w14:solidFill>
                          <w14:schemeClr w14:val="tx1"/>
                        </w14:solidFill>
                      </w14:textFill>
                    </w:rPr>
                  </w:pPr>
                  <w:r>
                    <w:rPr>
                      <w:rFonts w:hint="default" w:ascii="Times New Roman"/>
                      <w:color w:val="000000" w:themeColor="text1"/>
                      <w:sz w:val="21"/>
                      <w:szCs w:val="21"/>
                      <w14:textFill>
                        <w14:solidFill>
                          <w14:schemeClr w14:val="tx1"/>
                        </w14:solidFill>
                      </w14:textFill>
                    </w:rPr>
                    <w:t>水</w:t>
                  </w:r>
                </w:p>
              </w:tc>
              <w:tc>
                <w:tcPr>
                  <w:tcW w:w="2389"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7580.1</w:t>
                  </w:r>
                  <w:r>
                    <w:rPr>
                      <w:rFonts w:hint="default" w:ascii="Times New Roman"/>
                      <w:color w:val="000000" w:themeColor="text1"/>
                      <w:sz w:val="21"/>
                      <w:szCs w:val="21"/>
                      <w14:textFill>
                        <w14:solidFill>
                          <w14:schemeClr w14:val="tx1"/>
                        </w14:solidFill>
                      </w14:textFill>
                    </w:rPr>
                    <w:t>t/a</w:t>
                  </w:r>
                </w:p>
              </w:tc>
              <w:tc>
                <w:tcPr>
                  <w:tcW w:w="1900"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highlight w:val="none"/>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7580.1</w:t>
                  </w:r>
                  <w:r>
                    <w:rPr>
                      <w:rFonts w:hint="default" w:ascii="Times New Roman"/>
                      <w:color w:val="000000" w:themeColor="text1"/>
                      <w:sz w:val="21"/>
                      <w:szCs w:val="21"/>
                      <w14:textFill>
                        <w14:solidFill>
                          <w14:schemeClr w14:val="tx1"/>
                        </w14:solidFill>
                      </w14:textFill>
                    </w:rPr>
                    <w:t>t/a</w:t>
                  </w:r>
                </w:p>
              </w:tc>
              <w:tc>
                <w:tcPr>
                  <w:tcW w:w="1168"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eastAsia"/>
                      <w:color w:val="000000" w:themeColor="text1"/>
                      <w:sz w:val="18"/>
                      <w:szCs w:val="18"/>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bl>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5</w:t>
            </w:r>
            <w:r>
              <w:rPr>
                <w:rFonts w:hint="eastAsia"/>
                <w:b/>
                <w:bCs/>
                <w:color w:val="000000" w:themeColor="text1"/>
                <w:sz w:val="24"/>
                <w:szCs w:val="24"/>
                <w14:textFill>
                  <w14:solidFill>
                    <w14:schemeClr w14:val="tx1"/>
                  </w14:solidFill>
                </w14:textFill>
              </w:rPr>
              <w:t>项目公用工程</w:t>
            </w:r>
          </w:p>
          <w:p>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1、供电</w:t>
            </w:r>
          </w:p>
          <w:p>
            <w:pPr>
              <w:adjustRightInd w:val="0"/>
              <w:snapToGrid/>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本项目用电</w:t>
            </w:r>
            <w:r>
              <w:rPr>
                <w:rFonts w:hint="eastAsia"/>
                <w:color w:val="000000" w:themeColor="text1"/>
                <w:sz w:val="24"/>
                <w:szCs w:val="24"/>
                <w14:textFill>
                  <w14:solidFill>
                    <w14:schemeClr w14:val="tx1"/>
                  </w14:solidFill>
                </w14:textFill>
              </w:rPr>
              <w:t>由市政电网供给</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年消耗</w:t>
            </w:r>
            <w:r>
              <w:rPr>
                <w:rFonts w:hint="eastAsia"/>
                <w:color w:val="000000" w:themeColor="text1"/>
                <w:highlight w:val="none"/>
                <w:lang w:val="en-US" w:eastAsia="zh-CN"/>
                <w14:textFill>
                  <w14:solidFill>
                    <w14:schemeClr w14:val="tx1"/>
                  </w14:solidFill>
                </w14:textFill>
              </w:rPr>
              <w:t>150万kW•h。</w:t>
            </w:r>
          </w:p>
          <w:p>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2、给排水</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给水：项目由园区市政管网供给，本项目用水主要为生产用水和生活用水，用水量7580.1t/a。</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生产用水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①设备冲洗水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项目粉碎机、膨化机</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混合机</w:t>
            </w:r>
            <w:r>
              <w:rPr>
                <w:rFonts w:hint="default" w:ascii="Times New Roman" w:hAnsi="Times New Roman" w:cs="Times New Roman"/>
                <w:color w:val="000000" w:themeColor="text1"/>
                <w14:textFill>
                  <w14:solidFill>
                    <w14:schemeClr w14:val="tx1"/>
                  </w14:solidFill>
                </w14:textFill>
              </w:rPr>
              <w:t>等设备需进行清理冲洗，根据</w:t>
            </w:r>
            <w:r>
              <w:rPr>
                <w:rFonts w:hint="default" w:ascii="Times New Roman" w:hAnsi="Times New Roman" w:cs="Times New Roman"/>
                <w:color w:val="000000" w:themeColor="text1"/>
                <w:lang w:val="en-US" w:eastAsia="zh-CN"/>
                <w14:textFill>
                  <w14:solidFill>
                    <w14:schemeClr w14:val="tx1"/>
                  </w14:solidFill>
                </w14:textFill>
              </w:rPr>
              <w:t>建设单位</w:t>
            </w:r>
            <w:r>
              <w:rPr>
                <w:rFonts w:hint="default" w:ascii="Times New Roman" w:hAnsi="Times New Roman" w:cs="Times New Roman"/>
                <w:color w:val="000000" w:themeColor="text1"/>
                <w14:textFill>
                  <w14:solidFill>
                    <w14:schemeClr w14:val="tx1"/>
                  </w14:solidFill>
                </w14:textFill>
              </w:rPr>
              <w:t>业提供的相关资料，设备年冲洗次数约为60次，冲洗水量约为0.333m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/d，100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szCs w:val="24"/>
                <w14:textFill>
                  <w14:solidFill>
                    <w14:schemeClr w14:val="tx1"/>
                  </w14:solidFill>
                </w14:textFill>
              </w:rPr>
              <w:t>。</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②调浆用水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w:t>
            </w:r>
            <w:r>
              <w:rPr>
                <w:rFonts w:hint="default" w:ascii="Times New Roman" w:hAnsi="Times New Roman" w:cs="Times New Roman"/>
                <w:color w:val="000000" w:themeColor="text1"/>
                <w:szCs w:val="24"/>
                <w:lang w:val="en-US" w:eastAsia="zh-CN"/>
                <w14:textFill>
                  <w14:solidFill>
                    <w14:schemeClr w14:val="tx1"/>
                  </w14:solidFill>
                </w14:textFill>
              </w:rPr>
              <w:t>建设单位</w:t>
            </w:r>
            <w:r>
              <w:rPr>
                <w:rFonts w:hint="default" w:ascii="Times New Roman" w:hAnsi="Times New Roman" w:cs="Times New Roman"/>
                <w:color w:val="000000" w:themeColor="text1"/>
                <w:szCs w:val="24"/>
                <w14:textFill>
                  <w14:solidFill>
                    <w14:schemeClr w14:val="tx1"/>
                  </w14:solidFill>
                </w14:textFill>
              </w:rPr>
              <w:t>提供的相关资料可知，本项目调浆需用水，预糊化、膨化谷物粉生产线调浆用水量占原材料的5%，故调浆用水量为0.834m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/d，250.25m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/a，该部分水全部进入产品，不外排。</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eastAsiaTheme="minorEastAsia"/>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③</w:t>
            </w:r>
            <w:r>
              <w:rPr>
                <w:rFonts w:hint="default" w:ascii="Times New Roman" w:hAnsi="Times New Roman" w:cs="Times New Roman"/>
                <w:color w:val="000000" w:themeColor="text1"/>
                <w:szCs w:val="24"/>
                <w:lang w:val="en-US" w:eastAsia="zh-CN"/>
                <w14:textFill>
                  <w14:solidFill>
                    <w14:schemeClr w14:val="tx1"/>
                  </w14:solidFill>
                </w14:textFill>
              </w:rPr>
              <w:t>清洁用水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w:t>
            </w:r>
            <w:r>
              <w:rPr>
                <w:rFonts w:hint="default" w:ascii="Times New Roman" w:hAnsi="Times New Roman" w:cs="Times New Roman"/>
                <w:color w:val="000000" w:themeColor="text1"/>
                <w:szCs w:val="24"/>
                <w:lang w:val="en-US" w:eastAsia="zh-CN"/>
                <w14:textFill>
                  <w14:solidFill>
                    <w14:schemeClr w14:val="tx1"/>
                  </w14:solidFill>
                </w14:textFill>
              </w:rPr>
              <w:t>建设单位</w:t>
            </w:r>
            <w:r>
              <w:rPr>
                <w:rFonts w:hint="default" w:ascii="Times New Roman" w:hAnsi="Times New Roman" w:cs="Times New Roman"/>
                <w:color w:val="000000" w:themeColor="text1"/>
                <w:szCs w:val="24"/>
                <w14:textFill>
                  <w14:solidFill>
                    <w14:schemeClr w14:val="tx1"/>
                  </w14:solidFill>
                </w14:textFill>
              </w:rPr>
              <w:t>提供的相关资料可知，</w:t>
            </w:r>
            <w:r>
              <w:rPr>
                <w:rFonts w:hint="default" w:ascii="Times New Roman" w:hAnsi="Times New Roman" w:cs="Times New Roman"/>
                <w:color w:val="000000" w:themeColor="text1"/>
                <w:szCs w:val="24"/>
                <w:lang w:val="en-US" w:eastAsia="zh-CN"/>
                <w14:textFill>
                  <w14:solidFill>
                    <w14:schemeClr w14:val="tx1"/>
                  </w14:solidFill>
                </w14:textFill>
              </w:rPr>
              <w:t>1F、4F需要每天用拖把清洁，清洁用水量约为0.1</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/d，</w:t>
            </w:r>
            <w:r>
              <w:rPr>
                <w:rFonts w:hint="default" w:ascii="Times New Roman" w:hAnsi="Times New Roman" w:cs="Times New Roman"/>
                <w:color w:val="000000" w:themeColor="text1"/>
                <w:szCs w:val="24"/>
                <w:lang w:val="en-US" w:eastAsia="zh-CN"/>
                <w14:textFill>
                  <w14:solidFill>
                    <w14:schemeClr w14:val="tx1"/>
                  </w14:solidFill>
                </w14:textFill>
              </w:rPr>
              <w:t>30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生活用水：</w:t>
            </w:r>
            <w:r>
              <w:rPr>
                <w:rFonts w:hint="default" w:ascii="Times New Roman"/>
                <w:color w:val="000000" w:themeColor="text1"/>
                <w:szCs w:val="24"/>
                <w14:textFill>
                  <w14:solidFill>
                    <w14:schemeClr w14:val="tx1"/>
                  </w14:solidFill>
                </w14:textFill>
              </w:rPr>
              <w:t>本项目劳动定员为</w:t>
            </w:r>
            <w:r>
              <w:rPr>
                <w:rFonts w:hint="eastAsia" w:ascii="Times New Roman"/>
                <w:color w:val="000000" w:themeColor="text1"/>
                <w:szCs w:val="24"/>
                <w:lang w:val="en-US" w:eastAsia="zh-CN"/>
                <w14:textFill>
                  <w14:solidFill>
                    <w14:schemeClr w14:val="tx1"/>
                  </w14:solidFill>
                </w14:textFill>
              </w:rPr>
              <w:t>200</w:t>
            </w:r>
            <w:r>
              <w:rPr>
                <w:rFonts w:hint="default" w:ascii="Times New Roman"/>
                <w:color w:val="000000" w:themeColor="text1"/>
                <w:szCs w:val="24"/>
                <w14:textFill>
                  <w14:solidFill>
                    <w14:schemeClr w14:val="tx1"/>
                  </w14:solidFill>
                </w14:textFill>
              </w:rPr>
              <w:t>人，年工作时间为300d，均在厂区内食宿，参照</w:t>
            </w:r>
            <w:r>
              <w:rPr>
                <w:rFonts w:hint="eastAsia" w:ascii="Times New Roman"/>
                <w:color w:val="000000" w:themeColor="text1"/>
                <w:szCs w:val="24"/>
                <w:lang w:eastAsia="zh-CN"/>
                <w14:textFill>
                  <w14:solidFill>
                    <w14:schemeClr w14:val="tx1"/>
                  </w14:solidFill>
                </w14:textFill>
              </w:rPr>
              <w:t>《江西省</w:t>
            </w:r>
            <w:r>
              <w:rPr>
                <w:rFonts w:hint="eastAsia" w:ascii="Times New Roman"/>
                <w:color w:val="000000" w:themeColor="text1"/>
                <w:szCs w:val="24"/>
                <w:lang w:val="en-US" w:eastAsia="zh-CN"/>
                <w14:textFill>
                  <w14:solidFill>
                    <w14:schemeClr w14:val="tx1"/>
                  </w14:solidFill>
                </w14:textFill>
              </w:rPr>
              <w:t>生活用水定额</w:t>
            </w:r>
            <w:r>
              <w:rPr>
                <w:rFonts w:hint="eastAsia" w:ascii="Times New Roman"/>
                <w:color w:val="000000" w:themeColor="text1"/>
                <w:szCs w:val="24"/>
                <w:lang w:eastAsia="zh-CN"/>
                <w14:textFill>
                  <w14:solidFill>
                    <w14:schemeClr w14:val="tx1"/>
                  </w14:solidFill>
                </w14:textFill>
              </w:rPr>
              <w:t>》（</w:t>
            </w:r>
            <w:r>
              <w:rPr>
                <w:rFonts w:hint="eastAsia" w:ascii="Times New Roman"/>
                <w:color w:val="000000" w:themeColor="text1"/>
                <w:szCs w:val="24"/>
                <w:lang w:val="en-US" w:eastAsia="zh-CN"/>
                <w14:textFill>
                  <w14:solidFill>
                    <w14:schemeClr w14:val="tx1"/>
                  </w14:solidFill>
                </w14:textFill>
              </w:rPr>
              <w:t>DB36/T419-2017</w:t>
            </w:r>
            <w:r>
              <w:rPr>
                <w:rFonts w:hint="eastAsia" w:ascii="Times New Roman"/>
                <w:color w:val="000000" w:themeColor="text1"/>
                <w:szCs w:val="24"/>
                <w:lang w:eastAsia="zh-CN"/>
                <w14:textFill>
                  <w14:solidFill>
                    <w14:schemeClr w14:val="tx1"/>
                  </w14:solidFill>
                </w14:textFill>
              </w:rPr>
              <w:t>）</w:t>
            </w:r>
            <w:r>
              <w:rPr>
                <w:rFonts w:hint="default" w:ascii="Times New Roman"/>
                <w:color w:val="000000" w:themeColor="text1"/>
                <w:szCs w:val="24"/>
                <w14:textFill>
                  <w14:solidFill>
                    <w14:schemeClr w14:val="tx1"/>
                  </w14:solidFill>
                </w14:textFill>
              </w:rPr>
              <w:t>，本次用水量取</w:t>
            </w:r>
            <w:r>
              <w:rPr>
                <w:rFonts w:hint="eastAsia" w:ascii="Times New Roman"/>
                <w:color w:val="000000" w:themeColor="text1"/>
                <w:szCs w:val="24"/>
                <w:lang w:val="en-US" w:eastAsia="zh-CN"/>
                <w14:textFill>
                  <w14:solidFill>
                    <w14:schemeClr w14:val="tx1"/>
                  </w14:solidFill>
                </w14:textFill>
              </w:rPr>
              <w:t>12</w:t>
            </w:r>
            <w:r>
              <w:rPr>
                <w:rFonts w:hint="default" w:ascii="Times New Roman"/>
                <w:color w:val="000000" w:themeColor="text1"/>
                <w:szCs w:val="24"/>
                <w14:textFill>
                  <w14:solidFill>
                    <w14:schemeClr w14:val="tx1"/>
                  </w14:solidFill>
                </w14:textFill>
              </w:rPr>
              <w:t>0L/人·d，其生活用水量为</w:t>
            </w:r>
            <w:r>
              <w:rPr>
                <w:rFonts w:hint="eastAsia" w:ascii="Times New Roman"/>
                <w:color w:val="000000" w:themeColor="text1"/>
                <w:szCs w:val="24"/>
                <w:lang w:val="en-US" w:eastAsia="zh-CN"/>
                <w14:textFill>
                  <w14:solidFill>
                    <w14:schemeClr w14:val="tx1"/>
                  </w14:solidFill>
                </w14:textFill>
              </w:rPr>
              <w:t>24</w:t>
            </w:r>
            <w:r>
              <w:rPr>
                <w:rFonts w:hint="default" w:ascii="Times New Roman"/>
                <w:color w:val="000000" w:themeColor="text1"/>
                <w:szCs w:val="24"/>
                <w14:textFill>
                  <w14:solidFill>
                    <w14:schemeClr w14:val="tx1"/>
                  </w14:solidFill>
                </w14:textFill>
              </w:rPr>
              <w:t>m</w:t>
            </w:r>
            <w:r>
              <w:rPr>
                <w:rFonts w:hint="default" w:ascii="Times New Roman"/>
                <w:color w:val="000000" w:themeColor="text1"/>
                <w:szCs w:val="24"/>
                <w:vertAlign w:val="superscript"/>
                <w14:textFill>
                  <w14:solidFill>
                    <w14:schemeClr w14:val="tx1"/>
                  </w14:solidFill>
                </w14:textFill>
              </w:rPr>
              <w:t>3</w:t>
            </w:r>
            <w:r>
              <w:rPr>
                <w:rFonts w:hint="default" w:ascii="Times New Roman"/>
                <w:color w:val="000000" w:themeColor="text1"/>
                <w:szCs w:val="24"/>
                <w14:textFill>
                  <w14:solidFill>
                    <w14:schemeClr w14:val="tx1"/>
                  </w14:solidFill>
                </w14:textFill>
              </w:rPr>
              <w:t>/d，</w:t>
            </w:r>
            <w:r>
              <w:rPr>
                <w:rFonts w:hint="eastAsia" w:ascii="Times New Roman"/>
                <w:color w:val="000000" w:themeColor="text1"/>
                <w:szCs w:val="24"/>
                <w:lang w:val="en-US" w:eastAsia="zh-CN"/>
                <w14:textFill>
                  <w14:solidFill>
                    <w14:schemeClr w14:val="tx1"/>
                  </w14:solidFill>
                </w14:textFill>
              </w:rPr>
              <w:t>720</w:t>
            </w:r>
            <w:r>
              <w:rPr>
                <w:rFonts w:hint="default" w:ascii="Times New Roman"/>
                <w:color w:val="000000" w:themeColor="text1"/>
                <w:szCs w:val="24"/>
                <w14:textFill>
                  <w14:solidFill>
                    <w14:schemeClr w14:val="tx1"/>
                  </w14:solidFill>
                </w14:textFill>
              </w:rPr>
              <w:t>0m</w:t>
            </w:r>
            <w:r>
              <w:rPr>
                <w:rFonts w:hint="default" w:ascii="Times New Roman"/>
                <w:color w:val="000000" w:themeColor="text1"/>
                <w:szCs w:val="24"/>
                <w:vertAlign w:val="superscript"/>
                <w14:textFill>
                  <w14:solidFill>
                    <w14:schemeClr w14:val="tx1"/>
                  </w14:solidFill>
                </w14:textFill>
              </w:rPr>
              <w:t>3</w:t>
            </w:r>
            <w:r>
              <w:rPr>
                <w:rFonts w:hint="default" w:ascii="Times New Roman"/>
                <w:color w:val="000000" w:themeColor="text1"/>
                <w:szCs w:val="24"/>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a。</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①设备冲洗水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本项目设备冲洗水量约</w:t>
            </w:r>
            <w:r>
              <w:rPr>
                <w:rFonts w:hint="default" w:ascii="Times New Roman" w:hAnsi="Times New Roman" w:cs="Times New Roman"/>
                <w:color w:val="000000" w:themeColor="text1"/>
                <w14:textFill>
                  <w14:solidFill>
                    <w14:schemeClr w14:val="tx1"/>
                  </w14:solidFill>
                </w14:textFill>
              </w:rPr>
              <w:t>为0.333m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/d，100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/a，污水产生量按照80%计算，则冲洗</w:t>
            </w:r>
            <w:r>
              <w:rPr>
                <w:rFonts w:hint="default" w:ascii="Times New Roman" w:hAnsi="Times New Roman" w:cs="Times New Roman"/>
                <w:bCs/>
                <w:color w:val="000000" w:themeColor="text1"/>
                <w:szCs w:val="24"/>
                <w14:textFill>
                  <w14:solidFill>
                    <w14:schemeClr w14:val="tx1"/>
                  </w14:solidFill>
                </w14:textFill>
              </w:rPr>
              <w:t>废水量为0.267</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/d，80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/a，该废水</w:t>
            </w:r>
            <w:r>
              <w:rPr>
                <w:rFonts w:hint="eastAsia" w:ascii="Times New Roman" w:hAnsi="Times New Roman" w:cs="Times New Roman"/>
                <w:color w:val="000000" w:themeColor="text1"/>
                <w:lang w:val="en-US" w:eastAsia="zh-CN"/>
                <w14:textFill>
                  <w14:solidFill>
                    <w14:schemeClr w14:val="tx1"/>
                  </w14:solidFill>
                </w14:textFill>
              </w:rPr>
              <w:t>依托</w:t>
            </w:r>
            <w:r>
              <w:rPr>
                <w:rFonts w:hint="default" w:ascii="Times New Roman" w:hAnsi="Times New Roman" w:cs="Times New Roman"/>
                <w:color w:val="000000" w:themeColor="text1"/>
                <w14:textFill>
                  <w14:solidFill>
                    <w14:schemeClr w14:val="tx1"/>
                  </w14:solidFill>
                </w14:textFill>
              </w:rPr>
              <w:t>江西恒顶食品有限公司污水处理站</w:t>
            </w:r>
            <w:r>
              <w:rPr>
                <w:rFonts w:hint="default" w:ascii="Times New Roman" w:hAnsi="Times New Roman" w:cs="Times New Roman"/>
                <w:bCs/>
                <w:color w:val="000000" w:themeColor="text1"/>
                <w:szCs w:val="24"/>
                <w14:textFill>
                  <w14:solidFill>
                    <w14:schemeClr w14:val="tx1"/>
                  </w14:solidFill>
                </w14:textFill>
              </w:rPr>
              <w:t>处理</w:t>
            </w:r>
            <w:r>
              <w:rPr>
                <w:rFonts w:hint="eastAsia"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cs="Times New Roman"/>
                <w:bCs/>
                <w:color w:val="000000" w:themeColor="text1"/>
                <w:szCs w:val="24"/>
                <w14:textFill>
                  <w14:solidFill>
                    <w14:schemeClr w14:val="tx1"/>
                  </w14:solidFill>
                </w14:textFill>
              </w:rPr>
              <w:t>满足江西丰城高新技术产业园区污水处理厂接管标准后排入江西丰城高新技术产业园区污水处理厂（二期）</w:t>
            </w:r>
            <w:r>
              <w:rPr>
                <w:rFonts w:hint="default" w:ascii="Times New Roman" w:hAnsi="Times New Roman" w:cs="Times New Roman"/>
                <w:color w:val="000000" w:themeColor="text1"/>
                <w:szCs w:val="24"/>
                <w14:textFill>
                  <w14:solidFill>
                    <w14:schemeClr w14:val="tx1"/>
                  </w14:solidFill>
                </w14:textFill>
              </w:rPr>
              <w:t>。</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eastAsiaTheme="minorEastAsia"/>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②</w:t>
            </w:r>
            <w:r>
              <w:rPr>
                <w:rFonts w:hint="default" w:ascii="Times New Roman" w:hAnsi="Times New Roman" w:cs="Times New Roman"/>
                <w:color w:val="000000" w:themeColor="text1"/>
                <w:szCs w:val="24"/>
                <w:lang w:val="en-US" w:eastAsia="zh-CN"/>
                <w14:textFill>
                  <w14:solidFill>
                    <w14:schemeClr w14:val="tx1"/>
                  </w14:solidFill>
                </w14:textFill>
              </w:rPr>
              <w:t>清洁</w:t>
            </w:r>
            <w:r>
              <w:rPr>
                <w:rFonts w:hint="eastAsia" w:ascii="Times New Roman" w:hAnsi="Times New Roman" w:cs="Times New Roman"/>
                <w:color w:val="000000" w:themeColor="text1"/>
                <w:szCs w:val="24"/>
                <w:lang w:val="en-US" w:eastAsia="zh-CN"/>
                <w14:textFill>
                  <w14:solidFill>
                    <w14:schemeClr w14:val="tx1"/>
                  </w14:solidFill>
                </w14:textFill>
              </w:rPr>
              <w:t>废</w:t>
            </w:r>
            <w:r>
              <w:rPr>
                <w:rFonts w:hint="default" w:ascii="Times New Roman" w:hAnsi="Times New Roman" w:cs="Times New Roman"/>
                <w:color w:val="000000" w:themeColor="text1"/>
                <w:szCs w:val="24"/>
                <w:lang w:val="en-US" w:eastAsia="zh-CN"/>
                <w14:textFill>
                  <w14:solidFill>
                    <w14:schemeClr w14:val="tx1"/>
                  </w14:solidFill>
                </w14:textFill>
              </w:rPr>
              <w:t>水</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w:t>
            </w:r>
            <w:r>
              <w:rPr>
                <w:rFonts w:hint="default" w:ascii="Times New Roman" w:hAnsi="Times New Roman" w:cs="Times New Roman"/>
                <w:color w:val="000000" w:themeColor="text1"/>
                <w:szCs w:val="24"/>
                <w:lang w:val="en-US" w:eastAsia="zh-CN"/>
                <w14:textFill>
                  <w14:solidFill>
                    <w14:schemeClr w14:val="tx1"/>
                  </w14:solidFill>
                </w14:textFill>
              </w:rPr>
              <w:t>建设单位</w:t>
            </w:r>
            <w:r>
              <w:rPr>
                <w:rFonts w:hint="default" w:ascii="Times New Roman" w:hAnsi="Times New Roman" w:cs="Times New Roman"/>
                <w:color w:val="000000" w:themeColor="text1"/>
                <w:szCs w:val="24"/>
                <w14:textFill>
                  <w14:solidFill>
                    <w14:schemeClr w14:val="tx1"/>
                  </w14:solidFill>
                </w14:textFill>
              </w:rPr>
              <w:t>提供的相关资料可知，</w:t>
            </w:r>
            <w:r>
              <w:rPr>
                <w:rFonts w:hint="default" w:ascii="Times New Roman" w:hAnsi="Times New Roman" w:cs="Times New Roman"/>
                <w:color w:val="000000" w:themeColor="text1"/>
                <w:szCs w:val="24"/>
                <w:lang w:val="en-US" w:eastAsia="zh-CN"/>
                <w14:textFill>
                  <w14:solidFill>
                    <w14:schemeClr w14:val="tx1"/>
                  </w14:solidFill>
                </w14:textFill>
              </w:rPr>
              <w:t>1F、4F需要每天用拖把清洁，清洁用水量约为0.1</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/d，</w:t>
            </w:r>
            <w:r>
              <w:rPr>
                <w:rFonts w:hint="default" w:ascii="Times New Roman" w:hAnsi="Times New Roman" w:cs="Times New Roman"/>
                <w:color w:val="000000" w:themeColor="text1"/>
                <w:szCs w:val="24"/>
                <w:lang w:val="en-US" w:eastAsia="zh-CN"/>
                <w14:textFill>
                  <w14:solidFill>
                    <w14:schemeClr w14:val="tx1"/>
                  </w14:solidFill>
                </w14:textFill>
              </w:rPr>
              <w:t>30</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污水产生量按照80%计算，则</w:t>
            </w:r>
            <w:r>
              <w:rPr>
                <w:rFonts w:hint="default" w:ascii="Times New Roman" w:hAnsi="Times New Roman" w:cs="Times New Roman"/>
                <w:color w:val="000000" w:themeColor="text1"/>
                <w:szCs w:val="24"/>
                <w:lang w:val="en-US" w:eastAsia="zh-CN"/>
                <w14:textFill>
                  <w14:solidFill>
                    <w14:schemeClr w14:val="tx1"/>
                  </w14:solidFill>
                </w14:textFill>
              </w:rPr>
              <w:t>清洁</w:t>
            </w:r>
            <w:r>
              <w:rPr>
                <w:rFonts w:hint="default" w:ascii="Times New Roman" w:hAnsi="Times New Roman" w:cs="Times New Roman"/>
                <w:bCs/>
                <w:color w:val="000000" w:themeColor="text1"/>
                <w:szCs w:val="24"/>
                <w14:textFill>
                  <w14:solidFill>
                    <w14:schemeClr w14:val="tx1"/>
                  </w14:solidFill>
                </w14:textFill>
              </w:rPr>
              <w:t>废水量为0.</w:t>
            </w:r>
            <w:r>
              <w:rPr>
                <w:rFonts w:hint="eastAsia" w:ascii="Times New Roman" w:hAnsi="Times New Roman" w:cs="Times New Roman"/>
                <w:bCs/>
                <w:color w:val="000000" w:themeColor="text1"/>
                <w:szCs w:val="24"/>
                <w:lang w:val="en-US" w:eastAsia="zh-CN"/>
                <w14:textFill>
                  <w14:solidFill>
                    <w14:schemeClr w14:val="tx1"/>
                  </w14:solidFill>
                </w14:textFill>
              </w:rPr>
              <w:t>08</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/a，该废水</w:t>
            </w:r>
            <w:r>
              <w:rPr>
                <w:rFonts w:hint="eastAsia" w:ascii="Times New Roman" w:hAnsi="Times New Roman" w:cs="Times New Roman"/>
                <w:color w:val="000000" w:themeColor="text1"/>
                <w:lang w:val="en-US" w:eastAsia="zh-CN"/>
                <w14:textFill>
                  <w14:solidFill>
                    <w14:schemeClr w14:val="tx1"/>
                  </w14:solidFill>
                </w14:textFill>
              </w:rPr>
              <w:t>依托</w:t>
            </w:r>
            <w:r>
              <w:rPr>
                <w:rFonts w:hint="default" w:ascii="Times New Roman" w:hAnsi="Times New Roman" w:cs="Times New Roman"/>
                <w:color w:val="000000" w:themeColor="text1"/>
                <w14:textFill>
                  <w14:solidFill>
                    <w14:schemeClr w14:val="tx1"/>
                  </w14:solidFill>
                </w14:textFill>
              </w:rPr>
              <w:t>江西恒顶食品有限公司污水处理站</w:t>
            </w:r>
            <w:r>
              <w:rPr>
                <w:rFonts w:hint="default" w:ascii="Times New Roman" w:hAnsi="Times New Roman" w:cs="Times New Roman"/>
                <w:bCs/>
                <w:color w:val="000000" w:themeColor="text1"/>
                <w:szCs w:val="24"/>
                <w14:textFill>
                  <w14:solidFill>
                    <w14:schemeClr w14:val="tx1"/>
                  </w14:solidFill>
                </w14:textFill>
              </w:rPr>
              <w:t>处理</w:t>
            </w:r>
            <w:r>
              <w:rPr>
                <w:rFonts w:hint="eastAsia"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cs="Times New Roman"/>
                <w:bCs/>
                <w:color w:val="000000" w:themeColor="text1"/>
                <w:szCs w:val="24"/>
                <w14:textFill>
                  <w14:solidFill>
                    <w14:schemeClr w14:val="tx1"/>
                  </w14:solidFill>
                </w14:textFill>
              </w:rPr>
              <w:t>满足江西丰城高新技术产业园区污水处理厂接管标准后排入江西丰城高新技术产业园区污水处理厂（二期）</w:t>
            </w:r>
            <w:r>
              <w:rPr>
                <w:rFonts w:hint="default" w:ascii="Times New Roman" w:hAnsi="Times New Roman" w:cs="Times New Roman"/>
                <w:color w:val="000000" w:themeColor="text1"/>
                <w:szCs w:val="24"/>
                <w14:textFill>
                  <w14:solidFill>
                    <w14:schemeClr w14:val="tx1"/>
                  </w14:solidFill>
                </w14:textFill>
              </w:rPr>
              <w:t>。</w:t>
            </w:r>
          </w:p>
          <w:p>
            <w:pPr>
              <w:pStyle w:val="131"/>
              <w:keepNext w:val="0"/>
              <w:keepLines w:val="0"/>
              <w:pageBreakBefore w:val="0"/>
              <w:widowControl w:val="0"/>
              <w:suppressLineNumbers w:val="0"/>
              <w:kinsoku/>
              <w:wordWrap/>
              <w:overflowPunct/>
              <w:topLinePunct w:val="0"/>
              <w:bidi w:val="0"/>
              <w:adjustRightInd/>
              <w:spacing w:before="0" w:beforeAutospacing="0" w:after="0" w:afterAutospacing="0"/>
              <w:ind w:left="0" w:right="0" w:firstLine="480" w:firstLineChars="200"/>
              <w:jc w:val="both"/>
              <w:outlineLvl w:val="9"/>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③生活污水</w:t>
            </w:r>
          </w:p>
          <w:p>
            <w:pPr>
              <w:adjustRightInd w:val="0"/>
              <w:snapToGrid/>
              <w:spacing w:line="360" w:lineRule="auto"/>
              <w:ind w:firstLine="480" w:firstLineChars="200"/>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本项目生活用水量为</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720</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/a，污水产生量按照80%计算，则生活污水</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19.2</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5760</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/a。该废水</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依托</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江西恒顶食品有限公司污水处理站处理</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满足江西丰城高新技术产业园区污水处理厂接管标准后排入江西丰城高新技术产业园区污水处理厂（二期），项目水平衡分析见下表。</w:t>
            </w:r>
          </w:p>
          <w:p>
            <w:pPr>
              <w:pStyle w:val="38"/>
              <w:spacing w:before="0" w:after="0" w:line="360" w:lineRule="auto"/>
              <w:ind w:firstLine="480" w:firstLineChars="200"/>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表2-8</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全厂水平衡一览表（m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w:t>
            </w:r>
          </w:p>
          <w:tbl>
            <w:tblPr>
              <w:tblStyle w:val="3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44"/>
              <w:gridCol w:w="1065"/>
              <w:gridCol w:w="1020"/>
              <w:gridCol w:w="894"/>
              <w:gridCol w:w="807"/>
              <w:gridCol w:w="901"/>
              <w:gridCol w:w="1061"/>
              <w:gridCol w:w="8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5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项目</w:t>
                  </w:r>
                </w:p>
              </w:tc>
              <w:tc>
                <w:tcPr>
                  <w:tcW w:w="1769"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投入</w:t>
                  </w:r>
                </w:p>
              </w:tc>
              <w:tc>
                <w:tcPr>
                  <w:tcW w:w="2376" w:type="pct"/>
                  <w:gridSpan w:val="5"/>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产出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14:textFill>
                        <w14:solidFill>
                          <w14:schemeClr w14:val="tx1"/>
                        </w14:solidFill>
                      </w14:textFill>
                    </w:rPr>
                  </w:pPr>
                </w:p>
              </w:tc>
              <w:tc>
                <w:tcPr>
                  <w:tcW w:w="66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总计</w:t>
                  </w:r>
                </w:p>
              </w:tc>
              <w:tc>
                <w:tcPr>
                  <w:tcW w:w="566"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新鲜水</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回用</w:t>
                  </w:r>
                </w:p>
              </w:tc>
              <w:tc>
                <w:tcPr>
                  <w:tcW w:w="47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损耗量</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回用</w:t>
                  </w:r>
                </w:p>
              </w:tc>
              <w:tc>
                <w:tcPr>
                  <w:tcW w:w="47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废水</w:t>
                  </w:r>
                </w:p>
              </w:tc>
              <w:tc>
                <w:tcPr>
                  <w:tcW w:w="56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进入产品</w:t>
                  </w:r>
                </w:p>
              </w:tc>
              <w:tc>
                <w:tcPr>
                  <w:tcW w:w="42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生活用水</w:t>
                  </w:r>
                </w:p>
              </w:tc>
              <w:tc>
                <w:tcPr>
                  <w:tcW w:w="66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p>
              </w:tc>
              <w:tc>
                <w:tcPr>
                  <w:tcW w:w="5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调浆用水</w:t>
                  </w:r>
                </w:p>
              </w:tc>
              <w:tc>
                <w:tcPr>
                  <w:tcW w:w="66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0.834</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0.834</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5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0.834</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设备清洗水</w:t>
                  </w:r>
                </w:p>
              </w:tc>
              <w:tc>
                <w:tcPr>
                  <w:tcW w:w="66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0.333</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0.333</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0.066</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0.267</w:t>
                  </w:r>
                </w:p>
              </w:tc>
              <w:tc>
                <w:tcPr>
                  <w:tcW w:w="5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清洁用水</w:t>
                  </w:r>
                </w:p>
              </w:tc>
              <w:tc>
                <w:tcPr>
                  <w:tcW w:w="66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w:t>
                  </w:r>
                </w:p>
              </w:tc>
              <w:tc>
                <w:tcPr>
                  <w:tcW w:w="5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合计</w:t>
                  </w:r>
                </w:p>
              </w:tc>
              <w:tc>
                <w:tcPr>
                  <w:tcW w:w="66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sum(B3:B6)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25.267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sum(C3:C6)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25.267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54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sum(E3:E6)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4.886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sum(F3:F6)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4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sum(G3:G6)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19.547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c>
                <w:tcPr>
                  <w:tcW w:w="5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fldChar w:fldCharType="begin"/>
                  </w:r>
                  <w:r>
                    <w:rPr>
                      <w:rFonts w:hint="eastAsia" w:cs="Times New Roman"/>
                      <w:color w:val="000000" w:themeColor="text1"/>
                      <w:sz w:val="21"/>
                      <w:szCs w:val="21"/>
                      <w:lang w:val="en-US" w:eastAsia="zh-CN"/>
                      <w14:textFill>
                        <w14:solidFill>
                          <w14:schemeClr w14:val="tx1"/>
                        </w14:solidFill>
                      </w14:textFill>
                    </w:rPr>
                    <w:instrText xml:space="preserve"> = sum(H3:H6) \* MERGEFORMAT </w:instrText>
                  </w:r>
                  <w:r>
                    <w:rPr>
                      <w:rFonts w:hint="eastAsia" w:cs="Times New Roman"/>
                      <w:color w:val="000000" w:themeColor="text1"/>
                      <w:sz w:val="21"/>
                      <w:szCs w:val="21"/>
                      <w:lang w:val="en-US" w:eastAsia="zh-CN"/>
                      <w14:textFill>
                        <w14:solidFill>
                          <w14:schemeClr w14:val="tx1"/>
                        </w14:solidFill>
                      </w14:textFill>
                    </w:rPr>
                    <w:fldChar w:fldCharType="separate"/>
                  </w:r>
                  <w:r>
                    <w:rPr>
                      <w:rFonts w:hint="eastAsia" w:cs="Times New Roman"/>
                      <w:color w:val="000000" w:themeColor="text1"/>
                      <w:sz w:val="21"/>
                      <w:szCs w:val="21"/>
                      <w:lang w:val="en-US" w:eastAsia="zh-CN"/>
                      <w14:textFill>
                        <w14:solidFill>
                          <w14:schemeClr w14:val="tx1"/>
                        </w14:solidFill>
                      </w14:textFill>
                    </w:rPr>
                    <w:t>0.834</w:t>
                  </w:r>
                  <w:r>
                    <w:rPr>
                      <w:rFonts w:hint="eastAsia" w:cs="Times New Roman"/>
                      <w:color w:val="000000" w:themeColor="text1"/>
                      <w:sz w:val="21"/>
                      <w:szCs w:val="21"/>
                      <w:lang w:val="en-US" w:eastAsia="zh-CN"/>
                      <w14:textFill>
                        <w14:solidFill>
                          <w14:schemeClr w14:val="tx1"/>
                        </w14:solidFill>
                      </w14:textFill>
                    </w:rPr>
                    <w:fldChar w:fldCharType="end"/>
                  </w:r>
                </w:p>
              </w:tc>
              <w:tc>
                <w:tcPr>
                  <w:tcW w:w="4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instrText xml:space="preserve"> = sum(I3:I6) \* MERGEFORMAT </w:instrTex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25.267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fldChar w:fldCharType="end"/>
                  </w:r>
                </w:p>
              </w:tc>
            </w:tr>
          </w:tbl>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95"/>
              <w:ind w:firstLine="0" w:firstLineChars="0"/>
              <w:jc w:val="center"/>
              <w:rPr>
                <w:color w:val="000000" w:themeColor="text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object>
                <v:shape id="_x0000_i1025" o:spt="75" type="#_x0000_t75" style="height:148.75pt;width:389.0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95"/>
              <w:spacing w:line="240" w:lineRule="auto"/>
              <w:ind w:firstLine="0" w:firstLineChars="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图2-1 水平衡图（单位m</w:t>
            </w:r>
            <w:r>
              <w:rPr>
                <w:rFonts w:hint="eastAsia"/>
                <w:b/>
                <w:bCs/>
                <w:color w:val="000000" w:themeColor="text1"/>
                <w:sz w:val="18"/>
                <w:szCs w:val="18"/>
                <w:vertAlign w:val="superscript"/>
                <w14:textFill>
                  <w14:solidFill>
                    <w14:schemeClr w14:val="tx1"/>
                  </w14:solidFill>
                </w14:textFill>
              </w:rPr>
              <w:t>3</w:t>
            </w:r>
            <w:r>
              <w:rPr>
                <w:rFonts w:hint="eastAsia"/>
                <w:b/>
                <w:bCs/>
                <w:color w:val="000000" w:themeColor="text1"/>
                <w:sz w:val="18"/>
                <w:szCs w:val="18"/>
                <w14:textFill>
                  <w14:solidFill>
                    <w14:schemeClr w14:val="tx1"/>
                  </w14:solidFill>
                </w14:textFill>
              </w:rPr>
              <w:t>/d）</w:t>
            </w:r>
          </w:p>
          <w:p>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6</w:t>
            </w:r>
            <w:r>
              <w:rPr>
                <w:rFonts w:hint="eastAsia"/>
                <w:b/>
                <w:color w:val="000000" w:themeColor="text1"/>
                <w:kern w:val="0"/>
                <w:sz w:val="24"/>
                <w:szCs w:val="24"/>
                <w14:textFill>
                  <w14:solidFill>
                    <w14:schemeClr w14:val="tx1"/>
                  </w14:solidFill>
                </w14:textFill>
              </w:rPr>
              <w:t>主要生产工艺及污染物产出环节</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eastAsia="zh-TW"/>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highlight w:val="none"/>
                <w14:textFill>
                  <w14:solidFill>
                    <w14:schemeClr w14:val="tx1"/>
                  </w14:solidFill>
                </w14:textFill>
              </w:rPr>
              <w:t>预糊化谷物粉生产线工艺流程简单说明：</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脱包：双层编织袋包装的大米、玉米、燕麦、糙米、杂粮运至原料脱包间，相关工作人员将最外层编织袋拆卸运至脱包原料暂存区贮存。</w:t>
            </w:r>
            <w:r>
              <w:rPr>
                <w:rFonts w:hint="default" w:ascii="Times New Roman"/>
                <w:color w:val="000000" w:themeColor="text1"/>
                <w:sz w:val="24"/>
                <w:szCs w:val="24"/>
                <w14:textFill>
                  <w14:solidFill>
                    <w14:schemeClr w14:val="tx1"/>
                  </w14:solidFill>
                </w14:textFill>
              </w:rPr>
              <w:t>此工序产生固废（S）。</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2、</w:t>
            </w:r>
            <w:r>
              <w:rPr>
                <w:rFonts w:hint="default" w:ascii="Times New Roman"/>
                <w:color w:val="000000" w:themeColor="text1"/>
                <w:sz w:val="24"/>
                <w:szCs w:val="24"/>
                <w14:textFill>
                  <w14:solidFill>
                    <w14:schemeClr w14:val="tx1"/>
                  </w14:solidFill>
                </w14:textFill>
              </w:rPr>
              <w:t>称量：根据预糊化谷物粉的配料比例，进行称量。</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color w:val="000000" w:themeColor="text1"/>
                <w:sz w:val="24"/>
                <w:szCs w:val="24"/>
                <w14:textFill>
                  <w14:solidFill>
                    <w14:schemeClr w14:val="tx1"/>
                  </w14:solidFill>
                </w14:textFill>
              </w:rPr>
              <w:t>第一次粉粹：称量后的原材料进入粉碎间，将原材料进行粉粹，粉碎后装袋进入调浆搅拌间。此工序产生废气（G），固废（</w:t>
            </w:r>
            <w:r>
              <w:rPr>
                <w:rFonts w:hint="eastAsia" w:ascii="Times New Roman"/>
                <w:color w:val="000000" w:themeColor="text1"/>
                <w:sz w:val="24"/>
                <w:szCs w:val="24"/>
                <w:lang w:val="en-US" w:eastAsia="zh-CN"/>
                <w14:textFill>
                  <w14:solidFill>
                    <w14:schemeClr w14:val="tx1"/>
                  </w14:solidFill>
                </w14:textFill>
              </w:rPr>
              <w:t>S</w:t>
            </w:r>
            <w:r>
              <w:rPr>
                <w:rFonts w:hint="default" w:ascii="Times New Roman"/>
                <w:color w:val="000000" w:themeColor="text1"/>
                <w:sz w:val="24"/>
                <w:szCs w:val="24"/>
                <w14:textFill>
                  <w14:solidFill>
                    <w14:schemeClr w14:val="tx1"/>
                  </w14:solidFill>
                </w14:textFill>
              </w:rPr>
              <w:t>），机械设备产生的噪声（N）。</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4、</w:t>
            </w:r>
            <w:r>
              <w:rPr>
                <w:rFonts w:hint="default" w:ascii="Times New Roman"/>
                <w:color w:val="000000" w:themeColor="text1"/>
                <w:sz w:val="24"/>
                <w:szCs w:val="24"/>
                <w14:textFill>
                  <w14:solidFill>
                    <w14:schemeClr w14:val="tx1"/>
                  </w14:solidFill>
                </w14:textFill>
              </w:rPr>
              <w:t>调浆：将第一次粉粹后的</w:t>
            </w:r>
            <w:r>
              <w:rPr>
                <w:rFonts w:hint="eastAsia" w:ascii="Times New Roman"/>
                <w:color w:val="000000" w:themeColor="text1"/>
                <w:sz w:val="24"/>
                <w:szCs w:val="24"/>
                <w:lang w:val="en-US" w:eastAsia="zh-CN"/>
                <w14:textFill>
                  <w14:solidFill>
                    <w14:schemeClr w14:val="tx1"/>
                  </w14:solidFill>
                </w14:textFill>
              </w:rPr>
              <w:t>原</w:t>
            </w:r>
            <w:r>
              <w:rPr>
                <w:rFonts w:hint="default" w:ascii="Times New Roman"/>
                <w:color w:val="000000" w:themeColor="text1"/>
                <w:sz w:val="24"/>
                <w:szCs w:val="24"/>
                <w14:textFill>
                  <w14:solidFill>
                    <w14:schemeClr w14:val="tx1"/>
                  </w14:solidFill>
                </w14:textFill>
              </w:rPr>
              <w:t>材料加</w:t>
            </w:r>
            <w:r>
              <w:rPr>
                <w:rFonts w:hint="eastAsia" w:ascii="Times New Roman"/>
                <w:color w:val="000000" w:themeColor="text1"/>
                <w:sz w:val="24"/>
                <w:szCs w:val="24"/>
                <w:lang w:val="en-US" w:eastAsia="zh-CN"/>
                <w14:textFill>
                  <w14:solidFill>
                    <w14:schemeClr w14:val="tx1"/>
                  </w14:solidFill>
                </w14:textFill>
              </w:rPr>
              <w:t>入适量的</w:t>
            </w:r>
            <w:r>
              <w:rPr>
                <w:rFonts w:hint="default" w:ascii="Times New Roman"/>
                <w:color w:val="000000" w:themeColor="text1"/>
                <w:sz w:val="24"/>
                <w:szCs w:val="24"/>
                <w14:textFill>
                  <w14:solidFill>
                    <w14:schemeClr w14:val="tx1"/>
                  </w14:solidFill>
                </w14:textFill>
              </w:rPr>
              <w:t>水搅拌成糊状，调浆用水量为原材料的5%。</w:t>
            </w:r>
            <w:r>
              <w:rPr>
                <w:rFonts w:hint="eastAsia" w:ascii="Times New Roman"/>
                <w:color w:val="000000" w:themeColor="text1"/>
                <w:sz w:val="24"/>
                <w:szCs w:val="24"/>
                <w:lang w:val="en-US" w:eastAsia="zh-CN"/>
                <w14:textFill>
                  <w14:solidFill>
                    <w14:schemeClr w14:val="tx1"/>
                  </w14:solidFill>
                </w14:textFill>
              </w:rPr>
              <w:t>该工序搅拌前加入适量的水，故无粉尘产生。</w:t>
            </w:r>
            <w:r>
              <w:rPr>
                <w:rFonts w:hint="default" w:ascii="Times New Roman"/>
                <w:color w:val="000000" w:themeColor="text1"/>
                <w:sz w:val="24"/>
                <w:szCs w:val="24"/>
                <w14:textFill>
                  <w14:solidFill>
                    <w14:schemeClr w14:val="tx1"/>
                  </w14:solidFill>
                </w14:textFill>
              </w:rPr>
              <w:t>此工序机械设备产生的噪声（N）。</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5、</w:t>
            </w:r>
            <w:r>
              <w:rPr>
                <w:rFonts w:hint="default" w:ascii="Times New Roman" w:cs="Times New Roman"/>
                <w:color w:val="000000" w:themeColor="text1"/>
                <w:sz w:val="24"/>
                <w:szCs w:val="24"/>
                <w14:textFill>
                  <w14:solidFill>
                    <w14:schemeClr w14:val="tx1"/>
                  </w14:solidFill>
                </w14:textFill>
              </w:rPr>
              <w:t>干燥：糊状原材料经泵送入滚筒干燥机进行干燥，其温度为150℃，干燥时间为1分钟。</w:t>
            </w:r>
            <w:r>
              <w:rPr>
                <w:rFonts w:hint="default" w:ascii="Times New Roman"/>
                <w:color w:val="000000" w:themeColor="text1"/>
                <w:sz w:val="24"/>
                <w:szCs w:val="24"/>
                <w14:textFill>
                  <w14:solidFill>
                    <w14:schemeClr w14:val="tx1"/>
                  </w14:solidFill>
                </w14:textFill>
              </w:rPr>
              <w:t>此工序产生水蒸气（G），机械设备产生的噪声（N）。</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6、</w:t>
            </w:r>
            <w:r>
              <w:rPr>
                <w:rFonts w:hint="default" w:ascii="Times New Roman"/>
                <w:color w:val="000000" w:themeColor="text1"/>
                <w:sz w:val="24"/>
                <w:szCs w:val="24"/>
                <w14:textFill>
                  <w14:solidFill>
                    <w14:schemeClr w14:val="tx1"/>
                  </w14:solidFill>
                </w14:textFill>
              </w:rPr>
              <w:t>冷却：干燥后自然冷却到45℃，根据客户需求对半成品进一步加工生产。</w:t>
            </w:r>
          </w:p>
          <w:p>
            <w:pPr>
              <w:pStyle w:val="38"/>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s="Times New Roman"/>
                <w:color w:val="000000" w:themeColor="text1"/>
                <w:sz w:val="24"/>
                <w:szCs w:val="24"/>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7、</w:t>
            </w:r>
            <w:r>
              <w:rPr>
                <w:rFonts w:hint="default" w:ascii="Times New Roman"/>
                <w:color w:val="000000" w:themeColor="text1"/>
                <w:sz w:val="24"/>
                <w:szCs w:val="24"/>
                <w14:textFill>
                  <w14:solidFill>
                    <w14:schemeClr w14:val="tx1"/>
                  </w14:solidFill>
                </w14:textFill>
              </w:rPr>
              <w:t>二次粉粹：根据客户需求，将冷却后半成品运至超微区进行粉碎，粉碎后进入过筛工序。</w:t>
            </w:r>
            <w:r>
              <w:rPr>
                <w:rFonts w:hint="default" w:ascii="Times New Roman" w:cs="Times New Roman"/>
                <w:color w:val="000000" w:themeColor="text1"/>
                <w:sz w:val="24"/>
                <w:szCs w:val="24"/>
                <w14:textFill>
                  <w14:solidFill>
                    <w14:schemeClr w14:val="tx1"/>
                  </w14:solidFill>
                </w14:textFill>
              </w:rPr>
              <w:t>此工序产生废气（G） ，固废（S），机械设备产生的噪声（N）。</w:t>
            </w:r>
          </w:p>
          <w:p>
            <w:pPr>
              <w:pStyle w:val="38"/>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color w:val="000000" w:themeColor="text1"/>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8、</w:t>
            </w:r>
            <w:r>
              <w:rPr>
                <w:rFonts w:hint="default" w:ascii="Times New Roman" w:cs="Times New Roman"/>
                <w:color w:val="000000" w:themeColor="text1"/>
                <w:sz w:val="24"/>
                <w:szCs w:val="24"/>
                <w14:textFill>
                  <w14:solidFill>
                    <w14:schemeClr w14:val="tx1"/>
                  </w14:solidFill>
                </w14:textFill>
              </w:rPr>
              <w:t>包装：</w:t>
            </w:r>
            <w:r>
              <w:rPr>
                <w:rFonts w:hint="eastAsia" w:ascii="Times New Roman" w:cs="Times New Roman"/>
                <w:color w:val="000000" w:themeColor="text1"/>
                <w:sz w:val="24"/>
                <w:szCs w:val="24"/>
                <w:lang w:val="en-US" w:eastAsia="zh-CN"/>
                <w14:textFill>
                  <w14:solidFill>
                    <w14:schemeClr w14:val="tx1"/>
                  </w14:solidFill>
                </w14:textFill>
              </w:rPr>
              <w:t>产品</w:t>
            </w:r>
            <w:r>
              <w:rPr>
                <w:rFonts w:hint="default" w:ascii="Times New Roman" w:cs="Times New Roman"/>
                <w:color w:val="000000" w:themeColor="text1"/>
                <w:sz w:val="24"/>
                <w:szCs w:val="24"/>
                <w14:textFill>
                  <w14:solidFill>
                    <w14:schemeClr w14:val="tx1"/>
                  </w14:solidFill>
                </w14:textFill>
              </w:rPr>
              <w:t>根据粒径大小不同分别包装。</w:t>
            </w:r>
            <w:r>
              <w:rPr>
                <w:rFonts w:hint="default" w:ascii="Times New Roman"/>
                <w:color w:val="000000" w:themeColor="text1"/>
                <w:sz w:val="24"/>
                <w:szCs w:val="24"/>
                <w14:textFill>
                  <w14:solidFill>
                    <w14:schemeClr w14:val="tx1"/>
                  </w14:solidFill>
                </w14:textFill>
              </w:rPr>
              <w:t>此工序产生固废（S），机械设备产生的噪声（N）。</w:t>
            </w:r>
          </w:p>
          <w:p>
            <w:pPr>
              <w:keepNext w:val="0"/>
              <w:keepLines w:val="0"/>
              <w:pageBreakBefore w:val="0"/>
              <w:widowControl w:val="0"/>
              <w:suppressLineNumbers w:val="0"/>
              <w:tabs>
                <w:tab w:val="center" w:pos="4082"/>
              </w:tabs>
              <w:kinsoku/>
              <w:wordWrap/>
              <w:overflowPunct/>
              <w:topLinePunct w:val="0"/>
              <w:bidi w:val="0"/>
              <w:snapToGrid/>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9、</w:t>
            </w:r>
            <w:r>
              <w:rPr>
                <w:rFonts w:hint="default" w:ascii="Times New Roman"/>
                <w:color w:val="000000" w:themeColor="text1"/>
                <w:sz w:val="24"/>
                <w:szCs w:val="24"/>
                <w14:textFill>
                  <w14:solidFill>
                    <w14:schemeClr w14:val="tx1"/>
                  </w14:solidFill>
                </w14:textFill>
              </w:rPr>
              <w:t>检验：包装后进行检验即可成为成品。</w:t>
            </w:r>
          </w:p>
          <w:p>
            <w:pPr>
              <w:adjustRightInd w:val="0"/>
              <w:snapToGrid w:val="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eastAsia="zh-CN"/>
                <w14:textFill>
                  <w14:solidFill>
                    <w14:schemeClr w14:val="tx1"/>
                  </w14:solidFill>
                </w14:textFill>
              </w:rPr>
              <w:t>①</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预糊化谷物粉生产线生产工艺流程</w:t>
            </w:r>
          </w:p>
          <w:p>
            <w:pPr>
              <w:tabs>
                <w:tab w:val="center" w:pos="4766"/>
                <w:tab w:val="left" w:pos="8734"/>
              </w:tabs>
              <w:spacing w:line="360" w:lineRule="auto"/>
              <w:jc w:val="left"/>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b/>
                <w:bCs/>
                <w:color w:val="000000" w:themeColor="text1"/>
                <w:szCs w:val="24"/>
                <w:lang w:eastAsia="zh-CN"/>
                <w14:textFill>
                  <w14:solidFill>
                    <w14:schemeClr w14:val="tx1"/>
                  </w14:solidFill>
                </w14:textFill>
              </w:rPr>
              <w:tab/>
            </w:r>
            <w:r>
              <w:rPr>
                <w:rFonts w:hint="default" w:ascii="Times New Roman"/>
                <w:b/>
                <w:bCs/>
                <w:color w:val="000000" w:themeColor="text1"/>
                <w:szCs w:val="24"/>
                <w14:textFill>
                  <w14:solidFill>
                    <w14:schemeClr w14:val="tx1"/>
                  </w14:solidFill>
                </w14:textFill>
              </w:rPr>
              <w:object>
                <v:shape id="_x0000_i1026" o:spt="75" type="#_x0000_t75" style="height:303.3pt;width:286.7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r>
              <w:rPr>
                <w:rFonts w:hint="eastAsia"/>
                <w:b/>
                <w:bCs/>
                <w:color w:val="000000" w:themeColor="text1"/>
                <w:szCs w:val="24"/>
                <w:lang w:eastAsia="zh-CN"/>
                <w14:textFill>
                  <w14:solidFill>
                    <w14:schemeClr w14:val="tx1"/>
                  </w14:solidFill>
                </w14:textFill>
              </w:rPr>
              <w:tab/>
            </w:r>
          </w:p>
          <w:p>
            <w:pPr>
              <w:pStyle w:val="16"/>
              <w:spacing w:line="360" w:lineRule="auto"/>
              <w:ind w:firstLine="480" w:firstLineChars="200"/>
              <w:rPr>
                <w:rFonts w:hint="default" w:ascii="Times New Roman" w:hAnsi="Times New Roman" w:eastAsia="宋体" w:cs="Times New Roman"/>
                <w:bCs/>
                <w:color w:val="000000" w:themeColor="text1"/>
                <w:sz w:val="24"/>
                <w:highlight w:val="none"/>
                <w:lang w:eastAsia="zh-TW"/>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bCs/>
                <w:color w:val="000000" w:themeColor="text1"/>
                <w:sz w:val="24"/>
                <w:highlight w:val="none"/>
                <w14:textFill>
                  <w14:solidFill>
                    <w14:schemeClr w14:val="tx1"/>
                  </w14:solidFill>
                </w14:textFill>
              </w:rPr>
              <w:t>膨化谷物粉生产线工艺流程简单说明：</w:t>
            </w:r>
          </w:p>
          <w:p>
            <w:pPr>
              <w:pStyle w:val="16"/>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脱包：双层编织袋包装的大米、玉米、燕麦、糙米、杂粮运至原料脱包间，相关工作人员将最外层编织袋拆卸运至脱包原料暂存区贮存。</w:t>
            </w:r>
            <w:r>
              <w:rPr>
                <w:rFonts w:hint="default" w:ascii="Times New Roman"/>
                <w:color w:val="000000" w:themeColor="text1"/>
                <w:sz w:val="24"/>
                <w:szCs w:val="24"/>
                <w14:textFill>
                  <w14:solidFill>
                    <w14:schemeClr w14:val="tx1"/>
                  </w14:solidFill>
                </w14:textFill>
              </w:rPr>
              <w:t>此工序产生固废（S）。</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2、</w:t>
            </w:r>
            <w:r>
              <w:rPr>
                <w:rFonts w:hint="default" w:ascii="Times New Roman"/>
                <w:color w:val="000000" w:themeColor="text1"/>
                <w:sz w:val="24"/>
                <w:szCs w:val="24"/>
                <w14:textFill>
                  <w14:solidFill>
                    <w14:schemeClr w14:val="tx1"/>
                  </w14:solidFill>
                </w14:textFill>
              </w:rPr>
              <w:t>称量：根据预糊化谷物粉的配料比例，进行称量。</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color w:val="000000" w:themeColor="text1"/>
                <w:sz w:val="24"/>
                <w:szCs w:val="24"/>
                <w14:textFill>
                  <w14:solidFill>
                    <w14:schemeClr w14:val="tx1"/>
                  </w14:solidFill>
                </w14:textFill>
              </w:rPr>
              <w:t>第一次粉粹：称量后的原材料进入粉碎间，将原材料进行粉粹，粉碎后装袋进入调浆搅拌间。此工序产生废气（G），固废（S），机械设备产生的噪声（N）。</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4、</w:t>
            </w:r>
            <w:r>
              <w:rPr>
                <w:rFonts w:hint="default" w:ascii="Times New Roman"/>
                <w:color w:val="000000" w:themeColor="text1"/>
                <w:sz w:val="24"/>
                <w:szCs w:val="24"/>
                <w14:textFill>
                  <w14:solidFill>
                    <w14:schemeClr w14:val="tx1"/>
                  </w14:solidFill>
                </w14:textFill>
              </w:rPr>
              <w:t>将第一次粉粹后的</w:t>
            </w:r>
            <w:r>
              <w:rPr>
                <w:rFonts w:hint="eastAsia" w:ascii="Times New Roman"/>
                <w:color w:val="000000" w:themeColor="text1"/>
                <w:sz w:val="24"/>
                <w:szCs w:val="24"/>
                <w:lang w:val="en-US" w:eastAsia="zh-CN"/>
                <w14:textFill>
                  <w14:solidFill>
                    <w14:schemeClr w14:val="tx1"/>
                  </w14:solidFill>
                </w14:textFill>
              </w:rPr>
              <w:t>原</w:t>
            </w:r>
            <w:r>
              <w:rPr>
                <w:rFonts w:hint="default" w:ascii="Times New Roman"/>
                <w:color w:val="000000" w:themeColor="text1"/>
                <w:sz w:val="24"/>
                <w:szCs w:val="24"/>
                <w14:textFill>
                  <w14:solidFill>
                    <w14:schemeClr w14:val="tx1"/>
                  </w14:solidFill>
                </w14:textFill>
              </w:rPr>
              <w:t>材料加</w:t>
            </w:r>
            <w:r>
              <w:rPr>
                <w:rFonts w:hint="eastAsia" w:ascii="Times New Roman"/>
                <w:color w:val="000000" w:themeColor="text1"/>
                <w:sz w:val="24"/>
                <w:szCs w:val="24"/>
                <w:lang w:val="en-US" w:eastAsia="zh-CN"/>
                <w14:textFill>
                  <w14:solidFill>
                    <w14:schemeClr w14:val="tx1"/>
                  </w14:solidFill>
                </w14:textFill>
              </w:rPr>
              <w:t>入适量的</w:t>
            </w:r>
            <w:r>
              <w:rPr>
                <w:rFonts w:hint="default" w:ascii="Times New Roman"/>
                <w:color w:val="000000" w:themeColor="text1"/>
                <w:sz w:val="24"/>
                <w:szCs w:val="24"/>
                <w14:textFill>
                  <w14:solidFill>
                    <w14:schemeClr w14:val="tx1"/>
                  </w14:solidFill>
                </w14:textFill>
              </w:rPr>
              <w:t>水搅拌成糊状，调浆用水量为原材料的5%。</w:t>
            </w:r>
            <w:r>
              <w:rPr>
                <w:rFonts w:hint="eastAsia" w:ascii="Times New Roman"/>
                <w:color w:val="000000" w:themeColor="text1"/>
                <w:sz w:val="24"/>
                <w:szCs w:val="24"/>
                <w:lang w:val="en-US" w:eastAsia="zh-CN"/>
                <w14:textFill>
                  <w14:solidFill>
                    <w14:schemeClr w14:val="tx1"/>
                  </w14:solidFill>
                </w14:textFill>
              </w:rPr>
              <w:t>该工序搅拌前加入适量的水，故无粉尘产生。</w:t>
            </w:r>
            <w:r>
              <w:rPr>
                <w:rFonts w:hint="default" w:ascii="Times New Roman"/>
                <w:color w:val="000000" w:themeColor="text1"/>
                <w:sz w:val="24"/>
                <w:szCs w:val="24"/>
                <w14:textFill>
                  <w14:solidFill>
                    <w14:schemeClr w14:val="tx1"/>
                  </w14:solidFill>
                </w14:textFill>
              </w:rPr>
              <w:t>此工序产生水蒸气（G），机械设备产生的噪声（N）。</w:t>
            </w:r>
          </w:p>
          <w:p>
            <w:pPr>
              <w:pStyle w:val="38"/>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color w:val="000000" w:themeColor="text1"/>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5、</w:t>
            </w:r>
            <w:r>
              <w:rPr>
                <w:rFonts w:hint="default" w:ascii="Times New Roman" w:cs="Times New Roman"/>
                <w:color w:val="000000" w:themeColor="text1"/>
                <w:sz w:val="24"/>
                <w:szCs w:val="24"/>
                <w14:textFill>
                  <w14:solidFill>
                    <w14:schemeClr w14:val="tx1"/>
                  </w14:solidFill>
                </w14:textFill>
              </w:rPr>
              <w:t>膨化：糊状原材料经泵送入膨化机进行膨化，其温度为150℃，时间为1分钟。此工序产生水蒸气（G），机械设备产生的噪声（N）。</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6、</w:t>
            </w:r>
            <w:r>
              <w:rPr>
                <w:rFonts w:hint="default" w:ascii="Times New Roman"/>
                <w:color w:val="000000" w:themeColor="text1"/>
                <w:sz w:val="24"/>
                <w:szCs w:val="24"/>
                <w14:textFill>
                  <w14:solidFill>
                    <w14:schemeClr w14:val="tx1"/>
                  </w14:solidFill>
                </w14:textFill>
              </w:rPr>
              <w:t>冷却：膨化后自然冷却到45℃，根据客户需求对半成品进一步加工生产。</w:t>
            </w:r>
          </w:p>
          <w:p>
            <w:pPr>
              <w:pStyle w:val="38"/>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s="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7、</w:t>
            </w:r>
            <w:r>
              <w:rPr>
                <w:rFonts w:hint="default" w:ascii="Times New Roman"/>
                <w:color w:val="000000" w:themeColor="text1"/>
                <w:sz w:val="24"/>
                <w:szCs w:val="24"/>
                <w14:textFill>
                  <w14:solidFill>
                    <w14:schemeClr w14:val="tx1"/>
                  </w14:solidFill>
                </w14:textFill>
              </w:rPr>
              <w:t>二次粉粹：根据客户需求，将冷却后半成品运至超微区进行粉碎，粉碎后进入过筛工序。</w:t>
            </w:r>
            <w:r>
              <w:rPr>
                <w:rFonts w:hint="default" w:ascii="Times New Roman" w:cs="Times New Roman"/>
                <w:color w:val="000000" w:themeColor="text1"/>
                <w:sz w:val="24"/>
                <w:szCs w:val="24"/>
                <w14:textFill>
                  <w14:solidFill>
                    <w14:schemeClr w14:val="tx1"/>
                  </w14:solidFill>
                </w14:textFill>
              </w:rPr>
              <w:t>此工序产生废气（G），固废（S），机械设备产生的噪声（N）。</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8、</w:t>
            </w:r>
            <w:r>
              <w:rPr>
                <w:rFonts w:hint="default" w:ascii="Times New Roman" w:cs="Times New Roman"/>
                <w:color w:val="000000" w:themeColor="text1"/>
                <w:sz w:val="24"/>
                <w:szCs w:val="24"/>
                <w14:textFill>
                  <w14:solidFill>
                    <w14:schemeClr w14:val="tx1"/>
                  </w14:solidFill>
                </w14:textFill>
              </w:rPr>
              <w:t>包装：产品根据粒径大小不同分别包装。</w:t>
            </w:r>
            <w:r>
              <w:rPr>
                <w:rFonts w:hint="default" w:ascii="Times New Roman"/>
                <w:color w:val="000000" w:themeColor="text1"/>
                <w:sz w:val="24"/>
                <w:szCs w:val="24"/>
                <w14:textFill>
                  <w14:solidFill>
                    <w14:schemeClr w14:val="tx1"/>
                  </w14:solidFill>
                </w14:textFill>
              </w:rPr>
              <w:t>此工序产生固废（</w:t>
            </w:r>
            <w:r>
              <w:rPr>
                <w:rFonts w:hint="eastAsia" w:ascii="Times New Roman"/>
                <w:color w:val="000000" w:themeColor="text1"/>
                <w:sz w:val="24"/>
                <w:szCs w:val="24"/>
                <w:lang w:val="en-US" w:eastAsia="zh-CN"/>
                <w14:textFill>
                  <w14:solidFill>
                    <w14:schemeClr w14:val="tx1"/>
                  </w14:solidFill>
                </w14:textFill>
              </w:rPr>
              <w:t>S</w:t>
            </w:r>
            <w:r>
              <w:rPr>
                <w:rFonts w:hint="default" w:ascii="Times New Roman"/>
                <w:color w:val="000000" w:themeColor="text1"/>
                <w:sz w:val="24"/>
                <w:szCs w:val="24"/>
                <w14:textFill>
                  <w14:solidFill>
                    <w14:schemeClr w14:val="tx1"/>
                  </w14:solidFill>
                </w14:textFill>
              </w:rPr>
              <w:t>），机械设备产生的噪声（N）。</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jc w:val="both"/>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color w:val="000000" w:themeColor="text1"/>
                <w:sz w:val="24"/>
                <w:szCs w:val="24"/>
                <w:lang w:val="en-US" w:eastAsia="zh-CN"/>
                <w14:textFill>
                  <w14:solidFill>
                    <w14:schemeClr w14:val="tx1"/>
                  </w14:solidFill>
                </w14:textFill>
              </w:rPr>
              <w:t>9、</w:t>
            </w:r>
            <w:r>
              <w:rPr>
                <w:color w:val="000000" w:themeColor="text1"/>
                <w:sz w:val="24"/>
                <w:szCs w:val="24"/>
                <w14:textFill>
                  <w14:solidFill>
                    <w14:schemeClr w14:val="tx1"/>
                  </w14:solidFill>
                </w14:textFill>
              </w:rPr>
              <w:t>检验：包装后进行检验即可成为成品。</w:t>
            </w:r>
          </w:p>
          <w:p>
            <w:pPr>
              <w:pStyle w:val="16"/>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②</w:t>
            </w:r>
            <w:r>
              <w:rPr>
                <w:rFonts w:hint="default" w:ascii="Times New Roman" w:hAnsi="Times New Roman" w:eastAsia="宋体" w:cs="Times New Roman"/>
                <w:b/>
                <w:color w:val="000000" w:themeColor="text1"/>
                <w:sz w:val="24"/>
                <w:highlight w:val="none"/>
                <w14:textFill>
                  <w14:solidFill>
                    <w14:schemeClr w14:val="tx1"/>
                  </w14:solidFill>
                </w14:textFill>
              </w:rPr>
              <w:t>膨化谷物粉生产线工艺流程</w:t>
            </w:r>
          </w:p>
          <w:p>
            <w:pPr>
              <w:pStyle w:val="16"/>
              <w:spacing w:line="360" w:lineRule="auto"/>
              <w:ind w:firstLine="480" w:firstLineChars="20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object>
                <v:shape id="_x0000_i1027" o:spt="75" type="#_x0000_t75" style="height:264.4pt;width:243.0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16"/>
              <w:spacing w:line="360" w:lineRule="auto"/>
              <w:ind w:firstLine="480" w:firstLineChars="200"/>
              <w:rPr>
                <w:rFonts w:hint="default" w:ascii="Times New Roman" w:hAnsi="Times New Roman" w:eastAsia="宋体" w:cs="Times New Roman"/>
                <w:bCs/>
                <w:color w:val="000000" w:themeColor="text1"/>
                <w:sz w:val="24"/>
                <w:highlight w:val="none"/>
                <w:lang w:eastAsia="zh-TW"/>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highlight w:val="none"/>
                <w14:textFill>
                  <w14:solidFill>
                    <w14:schemeClr w14:val="tx1"/>
                  </w14:solidFill>
                </w14:textFill>
              </w:rPr>
              <w:t>益生菌发酵谷物粉生产线工艺流程简单说明：</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1、</w:t>
            </w:r>
            <w:r>
              <w:rPr>
                <w:rFonts w:hint="eastAsia" w:ascii="Times New Roman"/>
                <w:color w:val="000000" w:themeColor="text1"/>
                <w:sz w:val="24"/>
                <w:szCs w:val="24"/>
                <w:lang w:val="en-US" w:eastAsia="zh-CN"/>
                <w14:textFill>
                  <w14:solidFill>
                    <w14:schemeClr w14:val="tx1"/>
                  </w14:solidFill>
                </w14:textFill>
              </w:rPr>
              <w:t>密闭搅拌</w:t>
            </w:r>
            <w:r>
              <w:rPr>
                <w:rFonts w:hint="default" w:ascii="Times New Roman"/>
                <w:color w:val="000000" w:themeColor="text1"/>
                <w:sz w:val="24"/>
                <w:szCs w:val="24"/>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产出的部分膨化谷物粉、预糊化谷物粉由管道输送至混合机中，益生菌发酵粉经过</w:t>
            </w:r>
            <w:r>
              <w:rPr>
                <w:rFonts w:hint="default" w:ascii="Times New Roman"/>
                <w:color w:val="000000" w:themeColor="text1"/>
                <w:sz w:val="24"/>
                <w:szCs w:val="24"/>
                <w14:textFill>
                  <w14:solidFill>
                    <w14:schemeClr w14:val="tx1"/>
                  </w14:solidFill>
                </w14:textFill>
              </w:rPr>
              <w:t>配料比例，进行称量</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称量后输送至混合机中，进行物理搅拌</w:t>
            </w:r>
            <w:r>
              <w:rPr>
                <w:rFonts w:hint="default" w:ascii="Times New Roman"/>
                <w:color w:val="000000" w:themeColor="text1"/>
                <w:sz w:val="24"/>
                <w:szCs w:val="24"/>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搅拌均匀后进入下一工序。此工序为密闭搅拌故不产生粉尘</w:t>
            </w:r>
            <w:r>
              <w:rPr>
                <w:rFonts w:hint="default" w:ascii="Times New Roman"/>
                <w:color w:val="000000" w:themeColor="text1"/>
                <w:sz w:val="24"/>
                <w:szCs w:val="24"/>
                <w14:textFill>
                  <w14:solidFill>
                    <w14:schemeClr w14:val="tx1"/>
                  </w14:solidFill>
                </w14:textFill>
              </w:rPr>
              <w:t>。此工序产生固废（</w:t>
            </w:r>
            <w:r>
              <w:rPr>
                <w:rFonts w:hint="eastAsia" w:ascii="Times New Roman"/>
                <w:color w:val="000000" w:themeColor="text1"/>
                <w:sz w:val="24"/>
                <w:szCs w:val="24"/>
                <w:lang w:val="en-US" w:eastAsia="zh-CN"/>
                <w14:textFill>
                  <w14:solidFill>
                    <w14:schemeClr w14:val="tx1"/>
                  </w14:solidFill>
                </w14:textFill>
              </w:rPr>
              <w:t>S</w:t>
            </w:r>
            <w:r>
              <w:rPr>
                <w:rFonts w:hint="default" w:ascii="Times New Roman"/>
                <w:color w:val="000000" w:themeColor="text1"/>
                <w:sz w:val="24"/>
                <w:szCs w:val="24"/>
                <w14:textFill>
                  <w14:solidFill>
                    <w14:schemeClr w14:val="tx1"/>
                  </w14:solidFill>
                </w14:textFill>
              </w:rPr>
              <w:t>），机械设备产生的噪声（N）。</w:t>
            </w:r>
          </w:p>
          <w:p>
            <w:pPr>
              <w:keepNext w:val="0"/>
              <w:keepLines w:val="0"/>
              <w:pageBreakBefore w:val="0"/>
              <w:widowControl w:val="0"/>
              <w:suppressLineNumbers w:val="0"/>
              <w:tabs>
                <w:tab w:val="center" w:pos="4082"/>
              </w:tabs>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2、</w:t>
            </w:r>
            <w:r>
              <w:rPr>
                <w:rFonts w:hint="default" w:ascii="Times New Roman" w:cs="Times New Roman"/>
                <w:color w:val="000000" w:themeColor="text1"/>
                <w:sz w:val="24"/>
                <w:szCs w:val="24"/>
                <w14:textFill>
                  <w14:solidFill>
                    <w14:schemeClr w14:val="tx1"/>
                  </w14:solidFill>
                </w14:textFill>
              </w:rPr>
              <w:t>包装：</w:t>
            </w:r>
            <w:r>
              <w:rPr>
                <w:rFonts w:hint="eastAsia" w:ascii="Times New Roman" w:cs="Times New Roman"/>
                <w:color w:val="000000" w:themeColor="text1"/>
                <w:sz w:val="24"/>
                <w:szCs w:val="24"/>
                <w:lang w:val="en-US" w:eastAsia="zh-CN"/>
                <w14:textFill>
                  <w14:solidFill>
                    <w14:schemeClr w14:val="tx1"/>
                  </w14:solidFill>
                </w14:textFill>
              </w:rPr>
              <w:t>搅拌后的半成品进行</w:t>
            </w:r>
            <w:r>
              <w:rPr>
                <w:rFonts w:hint="default" w:ascii="Times New Roman" w:cs="Times New Roman"/>
                <w:color w:val="000000" w:themeColor="text1"/>
                <w:sz w:val="24"/>
                <w:szCs w:val="24"/>
                <w14:textFill>
                  <w14:solidFill>
                    <w14:schemeClr w14:val="tx1"/>
                  </w14:solidFill>
                </w14:textFill>
              </w:rPr>
              <w:t>包装。</w:t>
            </w:r>
            <w:r>
              <w:rPr>
                <w:rFonts w:hint="default" w:ascii="Times New Roman"/>
                <w:color w:val="000000" w:themeColor="text1"/>
                <w:sz w:val="24"/>
                <w:szCs w:val="24"/>
                <w14:textFill>
                  <w14:solidFill>
                    <w14:schemeClr w14:val="tx1"/>
                  </w14:solidFill>
                </w14:textFill>
              </w:rPr>
              <w:t>此工序产生固废（</w:t>
            </w:r>
            <w:r>
              <w:rPr>
                <w:rFonts w:hint="eastAsia" w:ascii="Times New Roman"/>
                <w:color w:val="000000" w:themeColor="text1"/>
                <w:sz w:val="24"/>
                <w:szCs w:val="24"/>
                <w:lang w:val="en-US" w:eastAsia="zh-CN"/>
                <w14:textFill>
                  <w14:solidFill>
                    <w14:schemeClr w14:val="tx1"/>
                  </w14:solidFill>
                </w14:textFill>
              </w:rPr>
              <w:t>S</w:t>
            </w:r>
            <w:r>
              <w:rPr>
                <w:rFonts w:hint="default" w:ascii="Times New Roman"/>
                <w:color w:val="000000" w:themeColor="text1"/>
                <w:sz w:val="24"/>
                <w:szCs w:val="24"/>
                <w14:textFill>
                  <w14:solidFill>
                    <w14:schemeClr w14:val="tx1"/>
                  </w14:solidFill>
                </w14:textFill>
              </w:rPr>
              <w:t>），机械设备产生的噪声（N）。</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3、</w:t>
            </w:r>
            <w:r>
              <w:rPr>
                <w:color w:val="000000" w:themeColor="text1"/>
                <w:sz w:val="24"/>
                <w:szCs w:val="24"/>
                <w14:textFill>
                  <w14:solidFill>
                    <w14:schemeClr w14:val="tx1"/>
                  </w14:solidFill>
                </w14:textFill>
              </w:rPr>
              <w:t>检验：包装后进行检验即可成为成品。</w:t>
            </w:r>
          </w:p>
          <w:p>
            <w:pPr>
              <w:pStyle w:val="16"/>
              <w:numPr>
                <w:ilvl w:val="0"/>
                <w:numId w:val="0"/>
              </w:numPr>
              <w:ind w:left="0" w:leftChars="0" w:firstLine="403" w:firstLineChars="0"/>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③益生菌发酵谷物粉</w:t>
            </w:r>
            <w:r>
              <w:rPr>
                <w:rFonts w:hint="default" w:ascii="Times New Roman" w:hAnsi="Times New Roman" w:eastAsia="宋体" w:cs="Times New Roman"/>
                <w:b/>
                <w:color w:val="000000" w:themeColor="text1"/>
                <w:sz w:val="24"/>
                <w:highlight w:val="none"/>
                <w14:textFill>
                  <w14:solidFill>
                    <w14:schemeClr w14:val="tx1"/>
                  </w14:solidFill>
                </w14:textFill>
              </w:rPr>
              <w:t>生产线工艺流程</w:t>
            </w:r>
          </w:p>
          <w:p>
            <w:pPr>
              <w:jc w:val="center"/>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object>
                <v:shape id="_x0000_i1028" o:spt="75" type="#_x0000_t75" style="height:175.2pt;width:347.3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pStyle w:val="100"/>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textAlignment w:val="top"/>
              <w:rPr>
                <w:rFonts w:ascii="Times New Roman"/>
                <w:color w:val="000000" w:themeColor="text1"/>
                <w:sz w:val="18"/>
                <w:szCs w:val="18"/>
                <w14:textFill>
                  <w14:solidFill>
                    <w14:schemeClr w14:val="tx1"/>
                  </w14:solidFill>
                </w14:textFill>
              </w:rPr>
            </w:pPr>
            <w:r>
              <w:rPr>
                <w:rFonts w:ascii="Times New Roman"/>
                <w:color w:val="000000" w:themeColor="text1"/>
                <w:sz w:val="18"/>
                <w:szCs w:val="18"/>
                <w14:textFill>
                  <w14:solidFill>
                    <w14:schemeClr w14:val="tx1"/>
                  </w14:solidFill>
                </w14:textFill>
              </w:rPr>
              <w:t>表</w:t>
            </w:r>
            <w:r>
              <w:rPr>
                <w:rFonts w:hint="eastAsia" w:ascii="Times New Roman"/>
                <w:color w:val="000000" w:themeColor="text1"/>
                <w:sz w:val="18"/>
                <w:szCs w:val="18"/>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8</w:t>
            </w:r>
            <w:r>
              <w:rPr>
                <w:rFonts w:ascii="Times New Roman"/>
                <w:color w:val="000000" w:themeColor="text1"/>
                <w:sz w:val="18"/>
                <w:szCs w:val="18"/>
                <w14:textFill>
                  <w14:solidFill>
                    <w14:schemeClr w14:val="tx1"/>
                  </w14:solidFill>
                </w14:textFill>
              </w:rPr>
              <w:t xml:space="preserve">  项目主要污染物来源、排放方式一览表</w:t>
            </w:r>
          </w:p>
          <w:tbl>
            <w:tblPr>
              <w:tblStyle w:val="32"/>
              <w:tblW w:w="9409" w:type="dxa"/>
              <w:jc w:val="center"/>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108" w:type="dxa"/>
                <w:bottom w:w="0" w:type="dxa"/>
                <w:right w:w="108" w:type="dxa"/>
              </w:tblCellMar>
            </w:tblPr>
            <w:tblGrid>
              <w:gridCol w:w="552"/>
              <w:gridCol w:w="1640"/>
              <w:gridCol w:w="2528"/>
              <w:gridCol w:w="3354"/>
              <w:gridCol w:w="1335"/>
            </w:tblGrid>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jc w:val="center"/>
              </w:trPr>
              <w:tc>
                <w:tcPr>
                  <w:tcW w:w="552"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时段</w:t>
                  </w:r>
                </w:p>
              </w:tc>
              <w:tc>
                <w:tcPr>
                  <w:tcW w:w="1640"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污染因子</w:t>
                  </w:r>
                </w:p>
              </w:tc>
              <w:tc>
                <w:tcPr>
                  <w:tcW w:w="2528"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来源</w:t>
                  </w:r>
                </w:p>
              </w:tc>
              <w:tc>
                <w:tcPr>
                  <w:tcW w:w="3354"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污染物种类</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排放方式</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452" w:hRule="atLeast"/>
                <w:jc w:val="center"/>
              </w:trPr>
              <w:tc>
                <w:tcPr>
                  <w:tcW w:w="552"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营</w:t>
                  </w:r>
                </w:p>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运</w:t>
                  </w:r>
                </w:p>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期</w:t>
                  </w:r>
                </w:p>
              </w:tc>
              <w:tc>
                <w:tcPr>
                  <w:tcW w:w="164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一次粉碎、二次粉粹</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颗粒物</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90" w:hRule="atLeast"/>
                <w:jc w:val="center"/>
              </w:trPr>
              <w:tc>
                <w:tcPr>
                  <w:tcW w:w="552"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干燥、膨化工序</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水蒸气</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90" w:hRule="atLeast"/>
                <w:jc w:val="center"/>
              </w:trPr>
              <w:tc>
                <w:tcPr>
                  <w:tcW w:w="552"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sz w:val="21"/>
                      <w:szCs w:val="21"/>
                      <w:lang w:eastAsia="zh-CN"/>
                      <w14:textFill>
                        <w14:solidFill>
                          <w14:schemeClr w14:val="tx1"/>
                        </w14:solidFill>
                      </w14:textFill>
                    </w:rPr>
                    <w:t>食堂</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油烟</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86" w:hRule="atLeast"/>
                <w:jc w:val="center"/>
              </w:trPr>
              <w:tc>
                <w:tcPr>
                  <w:tcW w:w="552"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lang w:val="en-US"/>
                      <w14:textFill>
                        <w14:solidFill>
                          <w14:schemeClr w14:val="tx1"/>
                        </w14:solidFill>
                      </w14:textFill>
                    </w:rPr>
                    <w:t>生活污水</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pH、COD、BOD</w:t>
                  </w:r>
                  <w:r>
                    <w:rPr>
                      <w:rFonts w:hint="default" w:ascii="Times New Roman"/>
                      <w:color w:val="000000" w:themeColor="text1"/>
                      <w:sz w:val="21"/>
                      <w:szCs w:val="21"/>
                      <w:vertAlign w:val="subscript"/>
                      <w14:textFill>
                        <w14:solidFill>
                          <w14:schemeClr w14:val="tx1"/>
                        </w14:solidFill>
                      </w14:textFill>
                    </w:rPr>
                    <w:t>5</w:t>
                  </w:r>
                  <w:r>
                    <w:rPr>
                      <w:rFonts w:hint="default" w:ascii="Times New Roman"/>
                      <w:color w:val="000000" w:themeColor="text1"/>
                      <w:sz w:val="21"/>
                      <w:szCs w:val="21"/>
                      <w14:textFill>
                        <w14:solidFill>
                          <w14:schemeClr w14:val="tx1"/>
                        </w14:solidFill>
                      </w14:textFill>
                    </w:rPr>
                    <w:t>、SS、NH</w:t>
                  </w:r>
                  <w:r>
                    <w:rPr>
                      <w:rFonts w:hint="default" w:ascii="Times New Roman"/>
                      <w:color w:val="000000" w:themeColor="text1"/>
                      <w:sz w:val="21"/>
                      <w:szCs w:val="21"/>
                      <w:vertAlign w:val="subscript"/>
                      <w14:textFill>
                        <w14:solidFill>
                          <w14:schemeClr w14:val="tx1"/>
                        </w14:solidFill>
                      </w14:textFill>
                    </w:rPr>
                    <w:t>3</w:t>
                  </w:r>
                  <w:r>
                    <w:rPr>
                      <w:rFonts w:hint="default" w:ascii="Times New Roman"/>
                      <w:color w:val="000000" w:themeColor="text1"/>
                      <w:sz w:val="21"/>
                      <w:szCs w:val="21"/>
                      <w14:textFill>
                        <w14:solidFill>
                          <w14:schemeClr w14:val="tx1"/>
                        </w14:solidFill>
                      </w14:textFill>
                    </w:rPr>
                    <w:t>-N、TP</w:t>
                  </w:r>
                  <w:r>
                    <w:rPr>
                      <w:rFonts w:hint="eastAsia" w:ascii="Times New Roman"/>
                      <w:color w:val="000000" w:themeColor="text1"/>
                      <w:sz w:val="21"/>
                      <w:szCs w:val="21"/>
                      <w:lang w:eastAsia="zh-CN"/>
                      <w14:textFill>
                        <w14:solidFill>
                          <w14:schemeClr w14:val="tx1"/>
                        </w14:solidFill>
                      </w14:textFill>
                    </w:rPr>
                    <w:t>、</w:t>
                  </w:r>
                  <w:r>
                    <w:rPr>
                      <w:rFonts w:hint="eastAsia" w:ascii="Times New Roman"/>
                      <w:color w:val="000000" w:themeColor="text1"/>
                      <w:sz w:val="21"/>
                      <w:szCs w:val="21"/>
                      <w:lang w:val="en-US" w:eastAsia="zh-CN"/>
                      <w14:textFill>
                        <w14:solidFill>
                          <w14:schemeClr w14:val="tx1"/>
                        </w14:solidFill>
                      </w14:textFill>
                    </w:rPr>
                    <w:t>TN</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间断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86" w:hRule="atLeast"/>
                <w:jc w:val="center"/>
              </w:trPr>
              <w:tc>
                <w:tcPr>
                  <w:tcW w:w="552"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生产废水</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COD、BOD</w:t>
                  </w:r>
                  <w:r>
                    <w:rPr>
                      <w:rFonts w:hint="default" w:ascii="Times New Roman"/>
                      <w:color w:val="000000" w:themeColor="text1"/>
                      <w:sz w:val="21"/>
                      <w:szCs w:val="21"/>
                      <w:vertAlign w:val="subscript"/>
                      <w14:textFill>
                        <w14:solidFill>
                          <w14:schemeClr w14:val="tx1"/>
                        </w14:solidFill>
                      </w14:textFill>
                    </w:rPr>
                    <w:t>5</w:t>
                  </w:r>
                  <w:r>
                    <w:rPr>
                      <w:rFonts w:hint="default" w:ascii="Times New Roman"/>
                      <w:color w:val="000000" w:themeColor="text1"/>
                      <w:sz w:val="21"/>
                      <w:szCs w:val="21"/>
                      <w14:textFill>
                        <w14:solidFill>
                          <w14:schemeClr w14:val="tx1"/>
                        </w14:solidFill>
                      </w14:textFill>
                    </w:rPr>
                    <w:t>、SS、NH</w:t>
                  </w:r>
                  <w:r>
                    <w:rPr>
                      <w:rFonts w:hint="default" w:ascii="Times New Roman"/>
                      <w:color w:val="000000" w:themeColor="text1"/>
                      <w:sz w:val="21"/>
                      <w:szCs w:val="21"/>
                      <w:vertAlign w:val="subscript"/>
                      <w14:textFill>
                        <w14:solidFill>
                          <w14:schemeClr w14:val="tx1"/>
                        </w14:solidFill>
                      </w14:textFill>
                    </w:rPr>
                    <w:t>3</w:t>
                  </w:r>
                  <w:r>
                    <w:rPr>
                      <w:rFonts w:hint="default" w:ascii="Times New Roman"/>
                      <w:color w:val="000000" w:themeColor="text1"/>
                      <w:sz w:val="21"/>
                      <w:szCs w:val="21"/>
                      <w14:textFill>
                        <w14:solidFill>
                          <w14:schemeClr w14:val="tx1"/>
                        </w14:solidFill>
                      </w14:textFill>
                    </w:rPr>
                    <w:t>-N、TP</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313" w:hRule="atLeast"/>
                <w:jc w:val="center"/>
              </w:trPr>
              <w:tc>
                <w:tcPr>
                  <w:tcW w:w="552"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生产设备噪声</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等效A声级</w:t>
                  </w:r>
                </w:p>
              </w:tc>
              <w:tc>
                <w:tcPr>
                  <w:tcW w:w="1335" w:type="dxa"/>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连续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275" w:hRule="atLeast"/>
                <w:jc w:val="center"/>
              </w:trPr>
              <w:tc>
                <w:tcPr>
                  <w:tcW w:w="55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restart"/>
                  <w:tcBorders>
                    <w:tl2br w:val="nil"/>
                    <w:tr2bl w:val="nil"/>
                  </w:tcBorders>
                  <w:noWrap w:val="0"/>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脱包工序</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废编织袋</w:t>
                  </w:r>
                </w:p>
              </w:tc>
              <w:tc>
                <w:tcPr>
                  <w:tcW w:w="133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间断</w:t>
                  </w: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275" w:hRule="atLeast"/>
                <w:jc w:val="center"/>
              </w:trPr>
              <w:tc>
                <w:tcPr>
                  <w:tcW w:w="55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除尘工序</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除尘灰</w:t>
                  </w:r>
                </w:p>
              </w:tc>
              <w:tc>
                <w:tcPr>
                  <w:tcW w:w="133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275" w:hRule="atLeast"/>
                <w:jc w:val="center"/>
              </w:trPr>
              <w:tc>
                <w:tcPr>
                  <w:tcW w:w="552"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40"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包装工序</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废包装袋</w:t>
                  </w:r>
                </w:p>
              </w:tc>
              <w:tc>
                <w:tcPr>
                  <w:tcW w:w="133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8" w:type="dxa"/>
                  <w:bottom w:w="0" w:type="dxa"/>
                  <w:right w:w="108" w:type="dxa"/>
                </w:tblCellMar>
              </w:tblPrEx>
              <w:trPr>
                <w:cantSplit/>
                <w:trHeight w:val="275" w:hRule="atLeast"/>
                <w:jc w:val="center"/>
              </w:trPr>
              <w:tc>
                <w:tcPr>
                  <w:tcW w:w="552"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000000" w:themeColor="text1"/>
                      <w:kern w:val="18"/>
                      <w:sz w:val="18"/>
                      <w:szCs w:val="18"/>
                      <w14:textFill>
                        <w14:solidFill>
                          <w14:schemeClr w14:val="tx1"/>
                        </w14:solidFill>
                      </w14:textFill>
                    </w:rPr>
                  </w:pPr>
                </w:p>
              </w:tc>
              <w:tc>
                <w:tcPr>
                  <w:tcW w:w="1640" w:type="dxa"/>
                  <w:vMerge w:val="continue"/>
                  <w:tcBorders>
                    <w:tl2br w:val="nil"/>
                    <w:tr2bl w:val="nil"/>
                  </w:tcBorders>
                  <w:noWrap w:val="0"/>
                  <w:vAlign w:val="center"/>
                </w:tcPr>
                <w:p>
                  <w:pPr>
                    <w:jc w:val="center"/>
                    <w:rPr>
                      <w:rFonts w:hint="eastAsia" w:ascii="Times New Roman" w:hAnsi="Times New Roman" w:cs="Times New Roman"/>
                      <w:b w:val="0"/>
                      <w:bCs w:val="0"/>
                      <w:color w:val="000000" w:themeColor="text1"/>
                      <w:kern w:val="18"/>
                      <w:sz w:val="18"/>
                      <w:szCs w:val="18"/>
                      <w:lang w:eastAsia="zh-CN"/>
                      <w14:textFill>
                        <w14:solidFill>
                          <w14:schemeClr w14:val="tx1"/>
                        </w14:solidFill>
                      </w14:textFill>
                    </w:rPr>
                  </w:pPr>
                </w:p>
              </w:tc>
              <w:tc>
                <w:tcPr>
                  <w:tcW w:w="252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工作人员办公生活</w:t>
                  </w:r>
                </w:p>
              </w:tc>
              <w:tc>
                <w:tcPr>
                  <w:tcW w:w="3354"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color w:val="000000" w:themeColor="text1"/>
                      <w:sz w:val="21"/>
                      <w:szCs w:val="21"/>
                      <w14:textFill>
                        <w14:solidFill>
                          <w14:schemeClr w14:val="tx1"/>
                        </w14:solidFill>
                      </w14:textFill>
                    </w:rPr>
                    <w:t>生活垃圾</w:t>
                  </w:r>
                </w:p>
              </w:tc>
              <w:tc>
                <w:tcPr>
                  <w:tcW w:w="1335" w:type="dxa"/>
                  <w:vMerge w:val="continue"/>
                  <w:tcBorders>
                    <w:tl2br w:val="nil"/>
                    <w:tr2bl w:val="nil"/>
                  </w:tcBorders>
                  <w:noWrap w:val="0"/>
                  <w:vAlign w:val="center"/>
                </w:tcPr>
                <w:p>
                  <w:pPr>
                    <w:jc w:val="center"/>
                    <w:rPr>
                      <w:rFonts w:hint="default" w:ascii="Times New Roman" w:hAnsi="Times New Roman" w:cs="Times New Roman"/>
                      <w:b w:val="0"/>
                      <w:bCs w:val="0"/>
                      <w:color w:val="000000" w:themeColor="text1"/>
                      <w:sz w:val="18"/>
                      <w:szCs w:val="18"/>
                      <w14:textFill>
                        <w14:solidFill>
                          <w14:schemeClr w14:val="tx1"/>
                        </w14:solidFill>
                      </w14:textFill>
                    </w:rPr>
                  </w:pPr>
                </w:p>
              </w:tc>
            </w:tr>
          </w:tbl>
          <w:p>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7</w:t>
            </w:r>
            <w:r>
              <w:rPr>
                <w:rFonts w:hint="eastAsia"/>
                <w:b/>
                <w:color w:val="000000" w:themeColor="text1"/>
                <w:kern w:val="0"/>
                <w:sz w:val="24"/>
                <w:szCs w:val="24"/>
                <w14:textFill>
                  <w14:solidFill>
                    <w14:schemeClr w14:val="tx1"/>
                  </w14:solidFill>
                </w14:textFill>
              </w:rPr>
              <w:t xml:space="preserve"> 项目变更情况说明</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根据中华人民共和国生态环境部办公厅发布的《污染影响类建设项目重大变动清单（试行）》（环办环评函[2020]688号），对本次变动进行判定，判定结果见下表：</w:t>
            </w:r>
          </w:p>
          <w:p>
            <w:pPr>
              <w:jc w:val="center"/>
              <w:rPr>
                <w:rFonts w:ascii="Times New Roman" w:hAnsi="Times New Roman" w:cs="Times New Roman"/>
                <w:b/>
                <w:color w:val="000000" w:themeColor="text1"/>
                <w:spacing w:val="4"/>
                <w:sz w:val="18"/>
                <w:szCs w:val="18"/>
                <w14:textFill>
                  <w14:solidFill>
                    <w14:schemeClr w14:val="tx1"/>
                  </w14:solidFill>
                </w14:textFill>
              </w:rPr>
            </w:pPr>
            <w:r>
              <w:rPr>
                <w:rFonts w:hint="eastAsia" w:ascii="Times New Roman" w:hAnsi="Times New Roman" w:cs="Times New Roman"/>
                <w:b/>
                <w:color w:val="000000" w:themeColor="text1"/>
                <w:spacing w:val="4"/>
                <w:sz w:val="18"/>
                <w:szCs w:val="18"/>
                <w14:textFill>
                  <w14:solidFill>
                    <w14:schemeClr w14:val="tx1"/>
                  </w14:solidFill>
                </w14:textFill>
              </w:rPr>
              <w:t>表2</w:t>
            </w:r>
            <w:r>
              <w:rPr>
                <w:rFonts w:hint="eastAsia" w:cs="Times New Roman"/>
                <w:b/>
                <w:color w:val="000000" w:themeColor="text1"/>
                <w:spacing w:val="4"/>
                <w:sz w:val="18"/>
                <w:szCs w:val="18"/>
                <w:lang w:val="en-US" w:eastAsia="zh-CN"/>
                <w14:textFill>
                  <w14:solidFill>
                    <w14:schemeClr w14:val="tx1"/>
                  </w14:solidFill>
                </w14:textFill>
              </w:rPr>
              <w:t>-9</w:t>
            </w:r>
            <w:r>
              <w:rPr>
                <w:rFonts w:hint="eastAsia" w:ascii="Times New Roman" w:hAnsi="Times New Roman" w:cs="Times New Roman"/>
                <w:b/>
                <w:color w:val="000000" w:themeColor="text1"/>
                <w:spacing w:val="4"/>
                <w:sz w:val="18"/>
                <w:szCs w:val="18"/>
                <w14:textFill>
                  <w14:solidFill>
                    <w14:schemeClr w14:val="tx1"/>
                  </w14:solidFill>
                </w14:textFill>
              </w:rPr>
              <w:t xml:space="preserve"> 项目变更情形对比表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5432"/>
              <w:gridCol w:w="2412"/>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重大变动情形</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项目情况</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是否重大变更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性质</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1.建设项目开发、使用功能发生变化的。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规模</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2.生产、处置或储存能力增大30%及以上的。</w:t>
                  </w:r>
                </w:p>
              </w:tc>
              <w:tc>
                <w:tcPr>
                  <w:tcW w:w="128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1#厂房2F，其中500m</w:t>
                  </w:r>
                  <w:r>
                    <w:rPr>
                      <w:rFonts w:hint="eastAsia" w:cs="Times New Roman"/>
                      <w:color w:val="FF0000"/>
                      <w:kern w:val="2"/>
                      <w:sz w:val="21"/>
                      <w:szCs w:val="21"/>
                      <w:highlight w:val="none"/>
                      <w:vertAlign w:val="superscript"/>
                      <w:lang w:val="en-US" w:eastAsia="zh-CN" w:bidi="ar-SA"/>
                    </w:rPr>
                    <w:t>2</w:t>
                  </w:r>
                  <w:r>
                    <w:rPr>
                      <w:rFonts w:hint="eastAsia" w:cs="Times New Roman"/>
                      <w:color w:val="FF0000"/>
                      <w:kern w:val="2"/>
                      <w:sz w:val="21"/>
                      <w:szCs w:val="21"/>
                      <w:highlight w:val="none"/>
                      <w:lang w:val="en-US" w:eastAsia="zh-CN" w:bidi="ar-SA"/>
                    </w:rPr>
                    <w:t>改为办公室，储存能力减少</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3.生产、处置或储存能力增大，导致废水第一类污染物排放量增加的。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1#厂房2F，其中500m</w:t>
                  </w:r>
                  <w:r>
                    <w:rPr>
                      <w:rFonts w:hint="eastAsia" w:cs="Times New Roman"/>
                      <w:color w:val="FF0000"/>
                      <w:kern w:val="2"/>
                      <w:sz w:val="21"/>
                      <w:szCs w:val="21"/>
                      <w:highlight w:val="none"/>
                      <w:vertAlign w:val="superscript"/>
                      <w:lang w:val="en-US" w:eastAsia="zh-CN" w:bidi="ar-SA"/>
                    </w:rPr>
                    <w:t>2</w:t>
                  </w:r>
                  <w:r>
                    <w:rPr>
                      <w:rFonts w:hint="eastAsia" w:cs="Times New Roman"/>
                      <w:color w:val="FF0000"/>
                      <w:kern w:val="2"/>
                      <w:sz w:val="21"/>
                      <w:szCs w:val="21"/>
                      <w:highlight w:val="none"/>
                      <w:lang w:val="en-US" w:eastAsia="zh-CN" w:bidi="ar-SA"/>
                    </w:rPr>
                    <w:t>改为办公室，储存能力减少，未导致废水第一类污染物排放量增加</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kern w:val="24"/>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1#厂房2F，其中500m</w:t>
                  </w:r>
                  <w:r>
                    <w:rPr>
                      <w:rFonts w:hint="eastAsia" w:cs="Times New Roman"/>
                      <w:color w:val="FF0000"/>
                      <w:kern w:val="2"/>
                      <w:sz w:val="21"/>
                      <w:szCs w:val="21"/>
                      <w:highlight w:val="none"/>
                      <w:vertAlign w:val="superscript"/>
                      <w:lang w:val="en-US" w:eastAsia="zh-CN" w:bidi="ar-SA"/>
                    </w:rPr>
                    <w:t>2</w:t>
                  </w:r>
                  <w:r>
                    <w:rPr>
                      <w:rFonts w:hint="eastAsia" w:cs="Times New Roman"/>
                      <w:color w:val="FF0000"/>
                      <w:kern w:val="2"/>
                      <w:sz w:val="21"/>
                      <w:szCs w:val="21"/>
                      <w:highlight w:val="none"/>
                      <w:lang w:val="en-US" w:eastAsia="zh-CN" w:bidi="ar-SA"/>
                    </w:rPr>
                    <w:t>改为办公室，储存能力减少，未导致相应污染物排放量增加</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地点</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5.重新选址；在原厂址附近调整（包括总平面布置变化）导致环境防护距离范围变化且新增敏感点的。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生产工艺</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28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7.物料运输、装卸、贮存方式变化，导致大气污染物无组织排放量增加10%及以上的。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环境保护措施</w:t>
                  </w: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9.新增废水直接排放口；废水由间接排放改为直接排放；废水直接排放口位置变化，导致不利环境影响加重的。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10.新增废气主要排放口（废气无组织排放改为有组织排放的除外）；主要排放口排气筒高度降低10%及以上的。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11.噪声、土壤或地下水污染防治措施变化，导致不利环境影响加重的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13.事故废水暂存能力或拦截设施变化，导致环境风险防范能力弱化或降低的。</w:t>
                  </w:r>
                </w:p>
              </w:tc>
              <w:tc>
                <w:tcPr>
                  <w:tcW w:w="1281"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根据上所述，本项目此次变动不属于重大变更。</w:t>
            </w:r>
          </w:p>
        </w:tc>
      </w:tr>
    </w:tbl>
    <w:p>
      <w:pPr>
        <w:bidi w:val="0"/>
        <w:rPr>
          <w:rFonts w:hint="default"/>
          <w:color w:val="000000" w:themeColor="text1"/>
          <w:lang w:val="en-US" w:eastAsia="zh-CN"/>
          <w14:textFill>
            <w14:solidFill>
              <w14:schemeClr w14:val="tx1"/>
            </w14:solidFill>
          </w14:textFill>
        </w:rPr>
        <w:sectPr>
          <w:footerReference r:id="rId6" w:type="default"/>
          <w:pgSz w:w="11907" w:h="16840"/>
          <w:pgMar w:top="1077" w:right="1247" w:bottom="1077" w:left="1247" w:header="851" w:footer="442" w:gutter="0"/>
          <w:pgBorders>
            <w:top w:val="none" w:sz="0" w:space="0"/>
            <w:left w:val="none" w:sz="0" w:space="0"/>
            <w:bottom w:val="none" w:sz="0" w:space="0"/>
            <w:right w:val="none" w:sz="0" w:space="0"/>
          </w:pgBorders>
          <w:pgNumType w:start="1"/>
          <w:cols w:space="720" w:num="1"/>
          <w:docGrid w:type="lines" w:linePitch="312" w:charSpace="0"/>
        </w:sectPr>
      </w:pPr>
    </w:p>
    <w:p>
      <w:pPr>
        <w:pStyle w:val="5"/>
        <w:rPr>
          <w:color w:val="000000" w:themeColor="text1"/>
          <w14:textFill>
            <w14:solidFill>
              <w14:schemeClr w14:val="tx1"/>
            </w14:solidFill>
          </w14:textFill>
        </w:rPr>
      </w:pPr>
      <w:bookmarkStart w:id="2" w:name="OLE_LINK5"/>
      <w:bookmarkStart w:id="3" w:name="_Toc523906057"/>
      <w:r>
        <w:rPr>
          <w:color w:val="000000" w:themeColor="text1"/>
          <w14:textFill>
            <w14:solidFill>
              <w14:schemeClr w14:val="tx1"/>
            </w14:solidFill>
          </w14:textFill>
        </w:rPr>
        <w:t>表三  主要污染源</w:t>
      </w:r>
      <w:bookmarkEnd w:id="2"/>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污染物处理及其排放情况</w:t>
      </w:r>
      <w:bookmarkEnd w:id="3"/>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9"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项目运营期主要污染物、污染物处理及排放情况见表3-1。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-1主要污染源、污染物处理和排放</w:t>
            </w:r>
          </w:p>
          <w:tbl>
            <w:tblPr>
              <w:tblStyle w:val="32"/>
              <w:tblW w:w="9071"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63"/>
              <w:gridCol w:w="1068"/>
              <w:gridCol w:w="1385"/>
              <w:gridCol w:w="2609"/>
              <w:gridCol w:w="2716"/>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类别</w:t>
                  </w:r>
                </w:p>
              </w:tc>
              <w:tc>
                <w:tcPr>
                  <w:tcW w:w="1731" w:type="dxa"/>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污染源</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主要污染物</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环评设计治理措施</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实际治理措施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tc>
              <w:tc>
                <w:tcPr>
                  <w:tcW w:w="663"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有组织</w:t>
                  </w:r>
                </w:p>
              </w:tc>
              <w:tc>
                <w:tcPr>
                  <w:tcW w:w="1068" w:type="dxa"/>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DA001</w:t>
                  </w:r>
                </w:p>
              </w:tc>
              <w:tc>
                <w:tcPr>
                  <w:tcW w:w="138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6"/>
                      <w:sz w:val="21"/>
                      <w:szCs w:val="21"/>
                      <w:highlight w:val="none"/>
                      <w:lang w:val="en-US" w:eastAsia="zh-CN"/>
                      <w14:textFill>
                        <w14:solidFill>
                          <w14:schemeClr w14:val="tx1"/>
                        </w14:solidFill>
                      </w14:textFill>
                    </w:rPr>
                    <w:t>颗粒物</w:t>
                  </w:r>
                </w:p>
              </w:tc>
              <w:tc>
                <w:tcPr>
                  <w:tcW w:w="2609" w:type="dxa"/>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集气罩+布袋除尘器</w:t>
                  </w:r>
                </w:p>
              </w:tc>
              <w:tc>
                <w:tcPr>
                  <w:tcW w:w="2716" w:type="dxa"/>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集气罩+布袋除尘器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3"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68" w:type="dxa"/>
                  <w:tcBorders>
                    <w:tl2br w:val="nil"/>
                    <w:tr2bl w:val="nil"/>
                  </w:tcBorders>
                  <w:shd w:val="clear" w:color="auto" w:fill="auto"/>
                  <w:vAlign w:val="center"/>
                </w:tcPr>
                <w:p>
                  <w:pPr>
                    <w:pStyle w:val="19"/>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DA002</w:t>
                  </w:r>
                </w:p>
              </w:tc>
              <w:tc>
                <w:tcPr>
                  <w:tcW w:w="138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食堂油烟</w:t>
                  </w:r>
                </w:p>
              </w:tc>
              <w:tc>
                <w:tcPr>
                  <w:tcW w:w="260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油烟净化器</w:t>
                  </w:r>
                </w:p>
              </w:tc>
              <w:tc>
                <w:tcPr>
                  <w:tcW w:w="271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油烟净化器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663"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1068"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厂区</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颗粒物</w:t>
                  </w:r>
                </w:p>
              </w:tc>
              <w:tc>
                <w:tcPr>
                  <w:tcW w:w="260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加强密闭</w:t>
                  </w:r>
                </w:p>
              </w:tc>
              <w:tc>
                <w:tcPr>
                  <w:tcW w:w="271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加强密闭</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731"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生产</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废水</w:t>
                  </w:r>
                </w:p>
              </w:tc>
              <w:tc>
                <w:tcPr>
                  <w:tcW w:w="138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pH、COD、BOD、氨氮、SS、</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TP</w:t>
                  </w:r>
                </w:p>
              </w:tc>
              <w:tc>
                <w:tcPr>
                  <w:tcW w:w="2609"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依托江西恒顶食品有限公司污水处理站</w:t>
                  </w:r>
                </w:p>
              </w:tc>
              <w:tc>
                <w:tcPr>
                  <w:tcW w:w="271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依托江西恒顶食品有限公司污水处理站</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5"/>
                      <w:sz w:val="21"/>
                      <w:szCs w:val="21"/>
                      <w:lang w:val="en-US" w:eastAsia="zh-CN"/>
                      <w14:textFill>
                        <w14:solidFill>
                          <w14:schemeClr w14:val="tx1"/>
                        </w14:solidFill>
                      </w14:textFill>
                    </w:rPr>
                    <w:t>生活污水</w:t>
                  </w:r>
                </w:p>
              </w:tc>
              <w:tc>
                <w:tcPr>
                  <w:tcW w:w="138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hAnsi="宋体"/>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pH、COD、BOD、氨氮、SS、TP、TN、动植物油</w:t>
                  </w:r>
                </w:p>
              </w:tc>
              <w:tc>
                <w:tcPr>
                  <w:tcW w:w="260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71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1731" w:type="dxa"/>
                  <w:gridSpan w:val="2"/>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生产设备</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2609" w:type="dxa"/>
                  <w:tcBorders>
                    <w:tl2br w:val="nil"/>
                    <w:tr2bl w:val="nil"/>
                  </w:tcBorders>
                  <w:shd w:val="clear" w:color="auto" w:fill="auto"/>
                  <w:vAlign w:val="center"/>
                </w:tcPr>
                <w:p>
                  <w:pPr>
                    <w:keepNext w:val="0"/>
                    <w:keepLines w:val="0"/>
                    <w:widowControl/>
                    <w:suppressLineNumbers w:val="0"/>
                    <w:jc w:val="center"/>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采取消声、减震、隔声等措</w:t>
                  </w:r>
                </w:p>
                <w:p>
                  <w:pPr>
                    <w:widowControl/>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施</w:t>
                  </w:r>
                </w:p>
              </w:tc>
              <w:tc>
                <w:tcPr>
                  <w:tcW w:w="2716" w:type="dxa"/>
                  <w:tcBorders>
                    <w:tl2br w:val="nil"/>
                    <w:tr2bl w:val="nil"/>
                  </w:tcBorders>
                  <w:shd w:val="clear" w:color="auto" w:fill="auto"/>
                  <w:vAlign w:val="center"/>
                </w:tcPr>
                <w:p>
                  <w:pPr>
                    <w:keepNext w:val="0"/>
                    <w:keepLines w:val="0"/>
                    <w:widowControl/>
                    <w:suppressLineNumbers w:val="0"/>
                    <w:jc w:val="center"/>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采取消声、减震、隔声等措</w:t>
                  </w:r>
                </w:p>
                <w:p>
                  <w:pPr>
                    <w:widowControl/>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1731" w:type="dxa"/>
                  <w:gridSpan w:val="2"/>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职工生活</w:t>
                  </w:r>
                </w:p>
              </w:tc>
              <w:tc>
                <w:tcPr>
                  <w:tcW w:w="1385"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生活垃圾</w:t>
                  </w:r>
                </w:p>
              </w:tc>
              <w:tc>
                <w:tcPr>
                  <w:tcW w:w="2609"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收集后交由环卫部门处理</w:t>
                  </w:r>
                </w:p>
              </w:tc>
              <w:tc>
                <w:tcPr>
                  <w:tcW w:w="2716"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收集后交由环卫部门处理</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vMerge w:val="restart"/>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使用原料</w:t>
                  </w:r>
                </w:p>
              </w:tc>
              <w:tc>
                <w:tcPr>
                  <w:tcW w:w="1385" w:type="dxa"/>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废包装袋</w:t>
                  </w:r>
                </w:p>
              </w:tc>
              <w:tc>
                <w:tcPr>
                  <w:tcW w:w="2609" w:type="dxa"/>
                  <w:vMerge w:val="restart"/>
                  <w:tcBorders>
                    <w:tl2br w:val="nil"/>
                    <w:tr2bl w:val="nil"/>
                  </w:tcBorders>
                  <w:shd w:val="clear" w:color="auto" w:fill="auto"/>
                  <w:vAlign w:val="center"/>
                </w:tcPr>
                <w:p>
                  <w:pPr>
                    <w:pStyle w:val="132"/>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集中收集后外售废品回收站</w:t>
                  </w:r>
                </w:p>
              </w:tc>
              <w:tc>
                <w:tcPr>
                  <w:tcW w:w="2716" w:type="dxa"/>
                  <w:vMerge w:val="restart"/>
                  <w:tcBorders>
                    <w:tl2br w:val="nil"/>
                    <w:tr2bl w:val="nil"/>
                  </w:tcBorders>
                  <w:shd w:val="clear" w:color="auto" w:fill="auto"/>
                  <w:vAlign w:val="center"/>
                </w:tcPr>
                <w:p>
                  <w:pPr>
                    <w:pStyle w:val="132"/>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集中收集后外售废品回收站</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vMerge w:val="continue"/>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14:textFill>
                        <w14:solidFill>
                          <w14:schemeClr w14:val="tx1"/>
                        </w14:solidFill>
                      </w14:textFill>
                    </w:rPr>
                    <w:t>废编织袋</w:t>
                  </w:r>
                </w:p>
              </w:tc>
              <w:tc>
                <w:tcPr>
                  <w:tcW w:w="260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71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gridSpan w:val="2"/>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环保设备</w:t>
                  </w:r>
                </w:p>
              </w:tc>
              <w:tc>
                <w:tcPr>
                  <w:tcW w:w="1385" w:type="dxa"/>
                  <w:tcBorders>
                    <w:tl2br w:val="nil"/>
                    <w:tr2bl w:val="nil"/>
                  </w:tcBorders>
                  <w:shd w:val="clear" w:color="auto" w:fill="auto"/>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除尘灰</w:t>
                  </w:r>
                </w:p>
              </w:tc>
              <w:tc>
                <w:tcPr>
                  <w:tcW w:w="2609" w:type="dxa"/>
                  <w:tcBorders>
                    <w:tl2br w:val="nil"/>
                    <w:tr2bl w:val="nil"/>
                  </w:tcBorders>
                  <w:shd w:val="clear" w:color="auto" w:fill="auto"/>
                  <w:vAlign w:val="center"/>
                </w:tcPr>
                <w:p>
                  <w:pPr>
                    <w:pStyle w:val="132"/>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集中收集后外售养殖场</w:t>
                  </w:r>
                </w:p>
              </w:tc>
              <w:tc>
                <w:tcPr>
                  <w:tcW w:w="2716" w:type="dxa"/>
                  <w:tcBorders>
                    <w:tl2br w:val="nil"/>
                    <w:tr2bl w:val="nil"/>
                  </w:tcBorders>
                  <w:shd w:val="clear" w:color="auto" w:fill="auto"/>
                  <w:vAlign w:val="center"/>
                </w:tcPr>
                <w:p>
                  <w:pPr>
                    <w:pStyle w:val="132"/>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集中收集后外售养殖场</w:t>
                  </w:r>
                </w:p>
              </w:tc>
            </w:tr>
          </w:tbl>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3.1污染物来源</w:t>
            </w:r>
          </w:p>
          <w:p>
            <w:pPr>
              <w:spacing w:line="360" w:lineRule="auto"/>
              <w:jc w:val="left"/>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3.1.1废水污染源、污染物及其排放情况</w:t>
            </w:r>
          </w:p>
          <w:p>
            <w:pPr>
              <w:pStyle w:val="19"/>
              <w:keepNext w:val="0"/>
              <w:keepLines w:val="0"/>
              <w:pageBreakBefore w:val="0"/>
              <w:suppressLineNumbers w:val="0"/>
              <w:kinsoku/>
              <w:wordWrap/>
              <w:overflowPunct/>
              <w:topLinePunct w:val="0"/>
              <w:autoSpaceDE/>
              <w:autoSpaceDN/>
              <w:bidi w:val="0"/>
              <w:snapToGrid/>
              <w:spacing w:before="0" w:beforeAutospacing="0" w:after="0" w:afterLines="0" w:afterAutospacing="0" w:line="360" w:lineRule="auto"/>
              <w:ind w:left="0" w:leftChars="0" w:right="0" w:firstLine="480" w:firstLineChars="200"/>
              <w:textAlignment w:val="auto"/>
              <w:outlineLvl w:val="9"/>
              <w:rPr>
                <w:rFonts w:hint="eastAsia" w:hAnsi="宋体" w:eastAsia="宋体"/>
                <w:bCs/>
                <w:color w:val="000000" w:themeColor="text1"/>
                <w:sz w:val="24"/>
                <w:lang w:val="en-US" w:eastAsia="zh-CN"/>
                <w14:textFill>
                  <w14:solidFill>
                    <w14:schemeClr w14:val="tx1"/>
                  </w14:solidFill>
                </w14:textFill>
              </w:rPr>
            </w:pPr>
            <w:r>
              <w:rPr>
                <w:rFonts w:hint="default" w:hAnsi="宋体"/>
                <w:bCs/>
                <w:color w:val="000000" w:themeColor="text1"/>
                <w:sz w:val="24"/>
                <w:lang w:eastAsia="zh-CN"/>
                <w14:textFill>
                  <w14:solidFill>
                    <w14:schemeClr w14:val="tx1"/>
                  </w14:solidFill>
                </w14:textFill>
              </w:rPr>
              <w:t>项目</w:t>
            </w:r>
            <w:r>
              <w:rPr>
                <w:rFonts w:hint="eastAsia" w:hAnsi="宋体"/>
                <w:bCs/>
                <w:color w:val="000000" w:themeColor="text1"/>
                <w:sz w:val="24"/>
                <w:lang w:val="en-US" w:eastAsia="zh-CN"/>
                <w14:textFill>
                  <w14:solidFill>
                    <w14:schemeClr w14:val="tx1"/>
                  </w14:solidFill>
                </w14:textFill>
              </w:rPr>
              <w:t>生产</w:t>
            </w:r>
            <w:r>
              <w:rPr>
                <w:rFonts w:hint="default" w:hAnsi="宋体"/>
                <w:bCs/>
                <w:color w:val="000000" w:themeColor="text1"/>
                <w:sz w:val="24"/>
                <w:lang w:eastAsia="zh-CN"/>
                <w14:textFill>
                  <w14:solidFill>
                    <w14:schemeClr w14:val="tx1"/>
                  </w14:solidFill>
                </w14:textFill>
              </w:rPr>
              <w:t>废水</w:t>
            </w:r>
            <w:r>
              <w:rPr>
                <w:rFonts w:hint="eastAsia" w:hAnsi="宋体"/>
                <w:bCs/>
                <w:color w:val="000000" w:themeColor="text1"/>
                <w:sz w:val="24"/>
                <w:lang w:eastAsia="zh-CN"/>
                <w14:textFill>
                  <w14:solidFill>
                    <w14:schemeClr w14:val="tx1"/>
                  </w14:solidFill>
                </w14:textFill>
              </w:rPr>
              <w:t>和生活污水</w:t>
            </w:r>
            <w:r>
              <w:rPr>
                <w:rFonts w:hint="eastAsia" w:ascii="Times New Roman" w:hAnsi="Times New Roman" w:cs="Times New Roman"/>
                <w:color w:val="000000" w:themeColor="text1"/>
                <w:sz w:val="24"/>
                <w:szCs w:val="24"/>
                <w:lang w:val="en-US" w:eastAsia="zh-CN"/>
                <w14:textFill>
                  <w14:solidFill>
                    <w14:schemeClr w14:val="tx1"/>
                  </w14:solidFill>
                </w14:textFill>
              </w:rPr>
              <w:t>依托</w:t>
            </w:r>
            <w:r>
              <w:rPr>
                <w:rFonts w:hint="default" w:ascii="Times New Roman" w:hAnsi="Times New Roman" w:cs="Times New Roman"/>
                <w:color w:val="000000" w:themeColor="text1"/>
                <w:sz w:val="24"/>
                <w:szCs w:val="24"/>
                <w14:textFill>
                  <w14:solidFill>
                    <w14:schemeClr w14:val="tx1"/>
                  </w14:solidFill>
                </w14:textFill>
              </w:rPr>
              <w:t>江西恒顶食品有限公司污水处理站</w:t>
            </w:r>
            <w:r>
              <w:rPr>
                <w:rFonts w:hint="default" w:ascii="Times New Roman" w:hAnsi="Times New Roman" w:cs="Times New Roman"/>
                <w:bCs/>
                <w:color w:val="000000" w:themeColor="text1"/>
                <w:sz w:val="24"/>
                <w:szCs w:val="24"/>
                <w14:textFill>
                  <w14:solidFill>
                    <w14:schemeClr w14:val="tx1"/>
                  </w14:solidFill>
                </w14:textFill>
              </w:rPr>
              <w:t>处理</w:t>
            </w:r>
            <w:r>
              <w:rPr>
                <w:rFonts w:hint="eastAsia"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满足江西丰城高新技术产业园区污水处理厂接管标准后排入江西丰城高新技术产业园区污水处理厂（二期）</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3.1.2</w:t>
            </w:r>
            <w:r>
              <w:rPr>
                <w:rFonts w:hint="eastAsia"/>
                <w:b/>
                <w:bCs/>
                <w:color w:val="000000" w:themeColor="text1"/>
                <w:sz w:val="24"/>
                <w:szCs w:val="24"/>
                <w14:textFill>
                  <w14:solidFill>
                    <w14:schemeClr w14:val="tx1"/>
                  </w14:solidFill>
                </w14:textFill>
              </w:rPr>
              <w:t>废气污染源、污染物及其处理和排放流程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1、有组织废气</w:t>
            </w:r>
          </w:p>
          <w:p>
            <w:pPr>
              <w:pStyle w:val="7"/>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both"/>
              <w:textAlignment w:val="auto"/>
              <w:outlineLvl w:val="9"/>
              <w:rPr>
                <w:rFonts w:hint="eastAsia" w:hAnsi="宋体" w:eastAsia="宋体"/>
                <w:bCs/>
                <w:color w:val="000000" w:themeColor="text1"/>
                <w:sz w:val="24"/>
                <w:lang w:eastAsia="zh-CN"/>
                <w14:textFill>
                  <w14:solidFill>
                    <w14:schemeClr w14:val="tx1"/>
                  </w14:solidFill>
                </w14:textFill>
              </w:rPr>
            </w:pPr>
            <w:r>
              <w:rPr>
                <w:color w:val="000000" w:themeColor="text1"/>
                <w:sz w:val="24"/>
                <w:szCs w:val="24"/>
                <w14:textFill>
                  <w14:solidFill>
                    <w14:schemeClr w14:val="tx1"/>
                  </w14:solidFill>
                </w14:textFill>
              </w:rPr>
              <w:t>本项目的废气主要是一次粉碎、二次粉粹工序产生的颗粒物，</w:t>
            </w:r>
            <w:r>
              <w:rPr>
                <w:rFonts w:hint="default" w:ascii="Times New Roman" w:hAnsi="Times New Roman" w:cs="Times New Roman"/>
                <w:color w:val="000000" w:themeColor="text1"/>
                <w:sz w:val="24"/>
                <w:szCs w:val="24"/>
                <w14:textFill>
                  <w14:solidFill>
                    <w14:schemeClr w14:val="tx1"/>
                  </w14:solidFill>
                </w14:textFill>
              </w:rPr>
              <w:t>颗粒物经集气罩+布袋除尘器+15m高排气筒排放（一次粉碎、二次粉粹共用一套环保设备）</w:t>
            </w:r>
            <w:r>
              <w:rPr>
                <w:rFonts w:hint="eastAsia" w:ascii="Times New Roman" w:hAnsi="Times New Roman" w:cs="Times New Roman"/>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干燥、膨化工序产生的水蒸气全部蒸发。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食堂工作时产生的油烟经油烟净化器处理后，引至屋顶排放（DA0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2、无组织废气</w:t>
            </w:r>
          </w:p>
          <w:p>
            <w:pPr>
              <w:adjustRightInd w:val="0"/>
              <w:snapToGrid w:val="0"/>
              <w:spacing w:line="360" w:lineRule="auto"/>
              <w:ind w:firstLine="480" w:firstLineChars="200"/>
              <w:jc w:val="both"/>
              <w:rPr>
                <w:rFonts w:hint="eastAsia" w:eastAsia="宋体"/>
                <w:color w:val="000000" w:themeColor="text1"/>
                <w:sz w:val="24"/>
                <w:szCs w:val="24"/>
                <w:lang w:eastAsia="zh-CN"/>
                <w14:textFill>
                  <w14:solidFill>
                    <w14:schemeClr w14:val="tx1"/>
                  </w14:solidFill>
                </w14:textFill>
              </w:rPr>
            </w:pPr>
            <w:r>
              <w:rPr>
                <w:rFonts w:hint="eastAsia" w:hAnsi="Times New Roman" w:cs="Times New Roman"/>
                <w:color w:val="000000" w:themeColor="text1"/>
                <w:sz w:val="24"/>
                <w:szCs w:val="24"/>
                <w:lang w:val="en-US" w:eastAsia="zh-CN"/>
                <w14:textFill>
                  <w14:solidFill>
                    <w14:schemeClr w14:val="tx1"/>
                  </w14:solidFill>
                </w14:textFill>
              </w:rPr>
              <w:t>未收</w:t>
            </w:r>
            <w:r>
              <w:rPr>
                <w:rFonts w:hint="default" w:ascii="Times New Roman" w:hAnsi="Times New Roman" w:cs="Times New Roman"/>
                <w:color w:val="000000" w:themeColor="text1"/>
                <w:sz w:val="24"/>
                <w:szCs w:val="24"/>
                <w:lang w:val="en-US" w:eastAsia="zh-CN"/>
                <w14:textFill>
                  <w14:solidFill>
                    <w14:schemeClr w14:val="tx1"/>
                  </w14:solidFill>
                </w14:textFill>
              </w:rPr>
              <w:t>集的</w:t>
            </w:r>
            <w:r>
              <w:rPr>
                <w:rFonts w:hint="eastAsia"/>
                <w:color w:val="000000" w:themeColor="text1"/>
                <w:sz w:val="24"/>
                <w:szCs w:val="24"/>
                <w14:textFill>
                  <w14:solidFill>
                    <w14:schemeClr w14:val="tx1"/>
                  </w14:solidFill>
                </w14:textFill>
              </w:rPr>
              <w:t>无组织颗粒物采取的措施为车间密闭</w:t>
            </w:r>
            <w:r>
              <w:rPr>
                <w:color w:val="000000" w:themeColor="text1"/>
                <w:sz w:val="24"/>
                <w:szCs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3.1.3 </w:t>
            </w:r>
            <w:r>
              <w:rPr>
                <w:b/>
                <w:bCs/>
                <w:color w:val="000000" w:themeColor="text1"/>
                <w:sz w:val="24"/>
                <w14:textFill>
                  <w14:solidFill>
                    <w14:schemeClr w14:val="tx1"/>
                  </w14:solidFill>
                </w14:textFill>
              </w:rPr>
              <w:t>噪声来源及其排放情况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项目噪声主要来自生产设备运行时产生的噪声。</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采取消声、减震、隔声等措施</w:t>
            </w:r>
            <w:r>
              <w:rPr>
                <w:color w:val="000000" w:themeColor="text1"/>
                <w:sz w:val="24"/>
                <w:szCs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3.1.4固体废物</w:t>
            </w:r>
            <w:r>
              <w:rPr>
                <w:b/>
                <w:bCs/>
                <w:color w:val="000000" w:themeColor="text1"/>
                <w:sz w:val="24"/>
                <w14:textFill>
                  <w14:solidFill>
                    <w14:schemeClr w14:val="tx1"/>
                  </w14:solidFill>
                </w14:textFill>
              </w:rPr>
              <w:t>来源及其</w:t>
            </w:r>
            <w:r>
              <w:rPr>
                <w:rFonts w:hint="eastAsia"/>
                <w:b/>
                <w:bCs/>
                <w:color w:val="000000" w:themeColor="text1"/>
                <w:sz w:val="24"/>
                <w14:textFill>
                  <w14:solidFill>
                    <w14:schemeClr w14:val="tx1"/>
                  </w14:solidFill>
                </w14:textFill>
              </w:rPr>
              <w:t>处理处置</w:t>
            </w:r>
            <w:r>
              <w:rPr>
                <w:b/>
                <w:bCs/>
                <w:color w:val="000000" w:themeColor="text1"/>
                <w:sz w:val="24"/>
                <w14:textFill>
                  <w14:solidFill>
                    <w14:schemeClr w14:val="tx1"/>
                  </w14:solidFill>
                </w14:textFill>
              </w:rPr>
              <w:t>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、建立环境管理台账制度，固体废物产生情况及处置去向如下：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废包装袋</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废编织袋集中收集后</w:t>
            </w:r>
            <w:r>
              <w:rPr>
                <w:rFonts w:hint="eastAsia" w:ascii="Times New Roman" w:hAnsi="Times New Roman" w:cs="Times New Roman"/>
                <w:color w:val="000000" w:themeColor="text1"/>
                <w:sz w:val="24"/>
                <w:szCs w:val="24"/>
                <w:lang w:val="en-US" w:eastAsia="zh-CN"/>
                <w14:textFill>
                  <w14:solidFill>
                    <w14:schemeClr w14:val="tx1"/>
                  </w14:solidFill>
                </w14:textFill>
              </w:rPr>
              <w:t>外售废品回收站，</w:t>
            </w:r>
            <w:r>
              <w:rPr>
                <w:rFonts w:hint="default" w:ascii="Times New Roman" w:hAnsi="Times New Roman" w:cs="Times New Roman"/>
                <w:color w:val="000000" w:themeColor="text1"/>
                <w:sz w:val="24"/>
                <w:szCs w:val="24"/>
                <w14:textFill>
                  <w14:solidFill>
                    <w14:schemeClr w14:val="tx1"/>
                  </w14:solidFill>
                </w14:textFill>
              </w:rPr>
              <w:t>除尘灰</w:t>
            </w:r>
            <w:r>
              <w:rPr>
                <w:rFonts w:hint="eastAsia" w:ascii="Times New Roman" w:hAnsi="Times New Roman" w:cs="Times New Roman"/>
                <w:color w:val="000000" w:themeColor="text1"/>
                <w:sz w:val="24"/>
                <w:szCs w:val="24"/>
                <w:lang w:val="en-US" w:eastAsia="zh-CN"/>
                <w14:textFill>
                  <w14:solidFill>
                    <w14:schemeClr w14:val="tx1"/>
                  </w14:solidFill>
                </w14:textFill>
              </w:rPr>
              <w:t>集中收集后外售养殖场。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、生活垃圾收集后由当地环卫部门统一清运处理</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3.2其他环境保护设施</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3.2.1 环境管理机构设置及有关环境管理制度</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1）建设单位需设专门的环境管理部门，安排专门环保人员，负责项目运行过程中环境管理、环境监控等工作，并受项目所在地主管部门、生态环境部门的监督和指导。</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2）安排专人定期对环保设施进行检查、维修、保养等工作，确保环保设施长期、稳定、达标运行。</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3）定期对员工进行环境保护教育、培训，提高员工的环保意识。</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3.2.2 环保设施建设与运行</w:t>
            </w:r>
            <w:r>
              <w:rPr>
                <w:rFonts w:hint="eastAsia"/>
                <w:b/>
                <w:bCs/>
                <w:color w:val="000000" w:themeColor="text1"/>
                <w:sz w:val="24"/>
                <w:szCs w:val="24"/>
                <w14:textFill>
                  <w14:solidFill>
                    <w14:schemeClr w14:val="tx1"/>
                  </w14:solidFill>
                </w14:textFill>
              </w:rPr>
              <w:t>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谷邑丰年产1万吨预糊化、膨化、益生菌发酵谷物粉生产线迁建项目竣工环境保护验收监测报告</w:t>
            </w:r>
            <w:r>
              <w:rPr>
                <w:rFonts w:hint="eastAsia"/>
                <w:color w:val="000000" w:themeColor="text1"/>
                <w:sz w:val="24"/>
                <w:szCs w:val="24"/>
                <w:lang w:eastAsia="zh-CN"/>
                <w14:textFill>
                  <w14:solidFill>
                    <w14:schemeClr w14:val="tx1"/>
                  </w14:solidFill>
                </w14:textFill>
              </w:rPr>
              <w:t>基本</w:t>
            </w:r>
            <w:r>
              <w:rPr>
                <w:rFonts w:hint="eastAsia"/>
                <w:color w:val="000000" w:themeColor="text1"/>
                <w:sz w:val="24"/>
                <w:szCs w:val="24"/>
                <w14:textFill>
                  <w14:solidFill>
                    <w14:schemeClr w14:val="tx1"/>
                  </w14:solidFill>
                </w14:textFill>
              </w:rPr>
              <w:t>落实了环评报告及环评批复中提出的各项污染防治措施要求，环保设施的运行及为维护由公司专职人员负责，主要环保设施包括</w:t>
            </w:r>
            <w:r>
              <w:rPr>
                <w:rFonts w:hint="eastAsia"/>
                <w:color w:val="000000" w:themeColor="text1"/>
                <w:sz w:val="24"/>
                <w:szCs w:val="24"/>
                <w:lang w:eastAsia="zh-CN"/>
                <w14:textFill>
                  <w14:solidFill>
                    <w14:schemeClr w14:val="tx1"/>
                  </w14:solidFill>
                </w14:textFill>
              </w:rPr>
              <w:t>布袋除尘器、风机、油烟净化器和</w:t>
            </w:r>
            <w:r>
              <w:rPr>
                <w:rFonts w:hint="eastAsia"/>
                <w:color w:val="000000" w:themeColor="text1"/>
                <w:sz w:val="24"/>
                <w:szCs w:val="24"/>
                <w14:textFill>
                  <w14:solidFill>
                    <w14:schemeClr w14:val="tx1"/>
                  </w14:solidFill>
                </w14:textFill>
              </w:rPr>
              <w:t>15m高排气筒（DA001）</w:t>
            </w:r>
            <w:r>
              <w:rPr>
                <w:rFonts w:hint="eastAsia"/>
                <w:color w:val="000000" w:themeColor="text1"/>
                <w:sz w:val="24"/>
                <w:szCs w:val="24"/>
                <w:lang w:eastAsia="zh-CN"/>
                <w14:textFill>
                  <w14:solidFill>
                    <w14:schemeClr w14:val="tx1"/>
                  </w14:solidFill>
                </w14:textFill>
              </w:rPr>
              <w:t>、一般固废间，</w:t>
            </w:r>
            <w:r>
              <w:rPr>
                <w:rFonts w:hint="eastAsia"/>
                <w:color w:val="000000" w:themeColor="text1"/>
                <w:sz w:val="24"/>
                <w:szCs w:val="24"/>
                <w14:textFill>
                  <w14:solidFill>
                    <w14:schemeClr w14:val="tx1"/>
                  </w14:solidFill>
                </w14:textFill>
              </w:rPr>
              <w:t>验收期间各</w:t>
            </w:r>
            <w:r>
              <w:rPr>
                <w:rFonts w:hint="eastAsia"/>
                <w:color w:val="000000" w:themeColor="text1"/>
                <w:sz w:val="24"/>
                <w:szCs w:val="24"/>
                <w:lang w:eastAsia="zh-CN"/>
                <w14:textFill>
                  <w14:solidFill>
                    <w14:schemeClr w14:val="tx1"/>
                  </w14:solidFill>
                </w14:textFill>
              </w:rPr>
              <w:t>项</w:t>
            </w:r>
            <w:r>
              <w:rPr>
                <w:rFonts w:hint="eastAsia"/>
                <w:color w:val="000000" w:themeColor="text1"/>
                <w:sz w:val="24"/>
                <w:szCs w:val="24"/>
                <w14:textFill>
                  <w14:solidFill>
                    <w14:schemeClr w14:val="tx1"/>
                  </w14:solidFill>
                </w14:textFill>
              </w:rPr>
              <w:t>环保设施正常运转。</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3.2.3 其他环境保护设施</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具体的环保投资见表3-2。</w:t>
            </w:r>
          </w:p>
          <w:p>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表3-2 环保投资项目</w:t>
            </w:r>
          </w:p>
          <w:tbl>
            <w:tblPr>
              <w:tblStyle w:val="33"/>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000"/>
              <w:gridCol w:w="2949"/>
              <w:gridCol w:w="1234"/>
              <w:gridCol w:w="11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产污</w:t>
                  </w:r>
                </w:p>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环节</w:t>
                  </w:r>
                </w:p>
              </w:tc>
              <w:tc>
                <w:tcPr>
                  <w:tcW w:w="1654"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环评治理措施</w:t>
                  </w:r>
                </w:p>
              </w:tc>
              <w:tc>
                <w:tcPr>
                  <w:tcW w:w="162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实际治理措施</w:t>
                  </w:r>
                </w:p>
              </w:tc>
              <w:tc>
                <w:tcPr>
                  <w:tcW w:w="680"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项目环保投资估算（万元）</w:t>
                  </w:r>
                </w:p>
              </w:tc>
              <w:tc>
                <w:tcPr>
                  <w:tcW w:w="661"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项目实际投资金额（万元）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77"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1654" w:type="pct"/>
                  <w:vAlign w:val="center"/>
                </w:tcPr>
                <w:p>
                  <w:pPr>
                    <w:pStyle w:val="7"/>
                    <w:tabs>
                      <w:tab w:val="left" w:pos="1036"/>
                    </w:tabs>
                    <w:snapToGrid w:val="0"/>
                    <w:ind w:firstLine="0" w:firstLineChars="0"/>
                    <w:jc w:val="cente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布袋除尘器，风机，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15m排气筒（DA001）、油烟净化器</w:t>
                  </w:r>
                </w:p>
              </w:tc>
              <w:tc>
                <w:tcPr>
                  <w:tcW w:w="2949" w:type="dxa"/>
                  <w:vAlign w:val="center"/>
                </w:tcPr>
                <w:p>
                  <w:pPr>
                    <w:pStyle w:val="7"/>
                    <w:tabs>
                      <w:tab w:val="left" w:pos="1036"/>
                    </w:tabs>
                    <w:snapToGrid w:val="0"/>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布袋除尘器，风机，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15m排气筒（DA001）、油烟净化器</w:t>
                  </w:r>
                </w:p>
              </w:tc>
              <w:tc>
                <w:tcPr>
                  <w:tcW w:w="680"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c>
                <w:tcPr>
                  <w:tcW w:w="1199"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77" w:type="pct"/>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1654"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依托江西恒顶食品有限公司污水处理站</w:t>
                  </w:r>
                </w:p>
              </w:tc>
              <w:tc>
                <w:tcPr>
                  <w:tcW w:w="294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依托江西恒顶食品有限公司污水处理站</w:t>
                  </w:r>
                </w:p>
              </w:tc>
              <w:tc>
                <w:tcPr>
                  <w:tcW w:w="680" w:type="pct"/>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20</w:t>
                  </w:r>
                </w:p>
              </w:tc>
              <w:tc>
                <w:tcPr>
                  <w:tcW w:w="1199" w:type="dxa"/>
                  <w:vAlign w:val="center"/>
                </w:tcPr>
                <w:p>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77"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1654" w:type="pct"/>
                  <w:vAlign w:val="center"/>
                </w:tcPr>
                <w:p>
                  <w:pPr>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减振、隔声、消声、降噪</w:t>
                  </w:r>
                </w:p>
              </w:tc>
              <w:tc>
                <w:tcPr>
                  <w:tcW w:w="2949" w:type="dxa"/>
                  <w:vAlign w:val="center"/>
                </w:tcPr>
                <w:p>
                  <w:pPr>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t>减振、隔声、消声、降噪</w:t>
                  </w:r>
                </w:p>
              </w:tc>
              <w:tc>
                <w:tcPr>
                  <w:tcW w:w="680"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1199"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固废</w:t>
                  </w:r>
                </w:p>
              </w:tc>
              <w:tc>
                <w:tcPr>
                  <w:tcW w:w="1654" w:type="pct"/>
                  <w:vAlign w:val="center"/>
                </w:tcPr>
                <w:p>
                  <w:pPr>
                    <w:topLinePunct/>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固废间</w:t>
                  </w:r>
                </w:p>
              </w:tc>
              <w:tc>
                <w:tcPr>
                  <w:tcW w:w="2949" w:type="dxa"/>
                  <w:vAlign w:val="center"/>
                </w:tcPr>
                <w:p>
                  <w:pPr>
                    <w:topLinePun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固废间</w:t>
                  </w:r>
                </w:p>
              </w:tc>
              <w:tc>
                <w:tcPr>
                  <w:tcW w:w="680"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c>
                <w:tcPr>
                  <w:tcW w:w="1199"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58" w:type="pct"/>
                  <w:gridSpan w:val="3"/>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合计</w:t>
                  </w:r>
                </w:p>
              </w:tc>
              <w:tc>
                <w:tcPr>
                  <w:tcW w:w="680" w:type="pct"/>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c>
                <w:tcPr>
                  <w:tcW w:w="1199" w:type="dxa"/>
                  <w:vAlign w:val="center"/>
                </w:tcPr>
                <w:p>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34</w:t>
                  </w:r>
                </w:p>
              </w:tc>
            </w:tr>
          </w:tbl>
          <w:p>
            <w:pPr>
              <w:spacing w:line="360" w:lineRule="auto"/>
              <w:rPr>
                <w:rFonts w:hint="eastAsia" w:eastAsia="宋体"/>
                <w:bCs/>
                <w:color w:val="000000" w:themeColor="text1"/>
                <w:sz w:val="24"/>
                <w:lang w:eastAsia="zh-CN"/>
                <w14:textFill>
                  <w14:solidFill>
                    <w14:schemeClr w14:val="tx1"/>
                  </w14:solidFill>
                </w14:textFill>
              </w:rPr>
            </w:pPr>
          </w:p>
        </w:tc>
      </w:tr>
    </w:tbl>
    <w:p>
      <w:pPr>
        <w:pStyle w:val="5"/>
        <w:rPr>
          <w:b w:val="0"/>
          <w:bCs/>
          <w:color w:val="000000" w:themeColor="text1"/>
          <w:szCs w:val="24"/>
          <w:highlight w:val="none"/>
          <w14:textFill>
            <w14:solidFill>
              <w14:schemeClr w14:val="tx1"/>
            </w14:solidFill>
          </w14:textFill>
        </w:rPr>
      </w:pPr>
      <w:bookmarkStart w:id="4" w:name="_Toc523906058"/>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环境影响报告表主要结论与建议及其审批部门审批决定</w:t>
      </w:r>
      <w:bookmarkEnd w:id="4"/>
    </w:p>
    <w:tbl>
      <w:tblPr>
        <w:tblStyle w:val="32"/>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9247" w:type="dxa"/>
            <w:shd w:val="clear" w:color="auto" w:fill="auto"/>
          </w:tcPr>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 建设项目环境影响报告表的主要结论与建议</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4.1.1  废水污染防治措施</w:t>
            </w:r>
          </w:p>
          <w:p>
            <w:pPr>
              <w:pStyle w:val="1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baseline"/>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hAnsi="宋体"/>
                <w:bCs/>
                <w:color w:val="000000" w:themeColor="text1"/>
                <w:sz w:val="24"/>
                <w:lang w:eastAsia="zh-CN"/>
                <w14:textFill>
                  <w14:solidFill>
                    <w14:schemeClr w14:val="tx1"/>
                  </w14:solidFill>
                </w14:textFill>
              </w:rPr>
              <w:t>本</w:t>
            </w:r>
            <w:r>
              <w:rPr>
                <w:rFonts w:hAnsi="宋体"/>
                <w:bCs/>
                <w:color w:val="000000" w:themeColor="text1"/>
                <w:sz w:val="24"/>
                <w14:textFill>
                  <w14:solidFill>
                    <w14:schemeClr w14:val="tx1"/>
                  </w14:solidFill>
                </w14:textFill>
              </w:rPr>
              <w:t>项目生产废水</w:t>
            </w:r>
            <w:r>
              <w:rPr>
                <w:rFonts w:hint="eastAsia" w:hAnsi="宋体"/>
                <w:bCs/>
                <w:color w:val="000000" w:themeColor="text1"/>
                <w:sz w:val="24"/>
                <w:lang w:eastAsia="zh-CN"/>
                <w14:textFill>
                  <w14:solidFill>
                    <w14:schemeClr w14:val="tx1"/>
                  </w14:solidFill>
                </w14:textFill>
              </w:rPr>
              <w:t>和</w:t>
            </w:r>
            <w:r>
              <w:rPr>
                <w:rFonts w:hAnsi="宋体"/>
                <w:bCs/>
                <w:color w:val="000000" w:themeColor="text1"/>
                <w:sz w:val="24"/>
                <w14:textFill>
                  <w14:solidFill>
                    <w14:schemeClr w14:val="tx1"/>
                  </w14:solidFill>
                </w14:textFill>
              </w:rPr>
              <w:t>生活污水</w:t>
            </w:r>
            <w:r>
              <w:rPr>
                <w:rFonts w:hint="eastAsia" w:ascii="Times New Roman" w:hAnsi="Times New Roman" w:cs="Times New Roman"/>
                <w:color w:val="000000" w:themeColor="text1"/>
                <w:sz w:val="24"/>
                <w:szCs w:val="24"/>
                <w:lang w:val="en-US" w:eastAsia="zh-CN"/>
                <w14:textFill>
                  <w14:solidFill>
                    <w14:schemeClr w14:val="tx1"/>
                  </w14:solidFill>
                </w14:textFill>
              </w:rPr>
              <w:t>托</w:t>
            </w:r>
            <w:r>
              <w:rPr>
                <w:rFonts w:hint="default" w:ascii="Times New Roman" w:hAnsi="Times New Roman" w:cs="Times New Roman"/>
                <w:color w:val="000000" w:themeColor="text1"/>
                <w:sz w:val="24"/>
                <w:szCs w:val="24"/>
                <w14:textFill>
                  <w14:solidFill>
                    <w14:schemeClr w14:val="tx1"/>
                  </w14:solidFill>
                </w14:textFill>
              </w:rPr>
              <w:t>江西恒顶食品有限公司污水处理站</w:t>
            </w:r>
            <w:r>
              <w:rPr>
                <w:rFonts w:hint="default" w:ascii="Times New Roman" w:hAnsi="Times New Roman" w:cs="Times New Roman"/>
                <w:bCs/>
                <w:color w:val="000000" w:themeColor="text1"/>
                <w:sz w:val="24"/>
                <w:szCs w:val="24"/>
                <w14:textFill>
                  <w14:solidFill>
                    <w14:schemeClr w14:val="tx1"/>
                  </w14:solidFill>
                </w14:textFill>
              </w:rPr>
              <w:t>处理</w:t>
            </w:r>
            <w:r>
              <w:rPr>
                <w:rFonts w:hint="default" w:hAnsi="宋体"/>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满足江西丰城高新技术产业园区污水处理厂接管标准后排入江西丰城高新技术产业园区污水处理厂（二期）</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4.1.2  废气污染防治措施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outlineLvl w:val="9"/>
              <w:rPr>
                <w:rFonts w:hint="eastAsia" w:eastAsia="宋体"/>
                <w:color w:val="000000" w:themeColor="text1"/>
                <w:sz w:val="24"/>
                <w:szCs w:val="24"/>
                <w:lang w:eastAsia="zh-CN"/>
                <w14:textFill>
                  <w14:solidFill>
                    <w14:schemeClr w14:val="tx1"/>
                  </w14:solidFill>
                </w14:textFill>
              </w:rPr>
            </w:pPr>
            <w:r>
              <w:rPr>
                <w:rFonts w:hint="default"/>
                <w:color w:val="000000" w:themeColor="text1"/>
                <w:sz w:val="24"/>
                <w:szCs w:val="24"/>
                <w14:textFill>
                  <w14:solidFill>
                    <w14:schemeClr w14:val="tx1"/>
                  </w14:solidFill>
                </w14:textFill>
              </w:rPr>
              <w:t>项目运营期</w:t>
            </w:r>
            <w:r>
              <w:rPr>
                <w:rFonts w:hint="eastAsia"/>
                <w:color w:val="000000" w:themeColor="text1"/>
                <w:sz w:val="24"/>
                <w:szCs w:val="24"/>
                <w:lang w:eastAsia="zh-CN"/>
                <w14:textFill>
                  <w14:solidFill>
                    <w14:schemeClr w14:val="tx1"/>
                  </w14:solidFill>
                </w14:textFill>
              </w:rPr>
              <w:t>主要为</w:t>
            </w:r>
            <w:r>
              <w:rPr>
                <w:color w:val="000000" w:themeColor="text1"/>
                <w:sz w:val="24"/>
                <w:szCs w:val="24"/>
                <w14:textFill>
                  <w14:solidFill>
                    <w14:schemeClr w14:val="tx1"/>
                  </w14:solidFill>
                </w14:textFill>
              </w:rPr>
              <w:t>一次粉碎、二次粉粹工序产生的颗粒物</w:t>
            </w:r>
            <w:r>
              <w:rPr>
                <w:rFonts w:hint="eastAsia"/>
                <w:color w:val="000000" w:themeColor="text1"/>
                <w:sz w:val="24"/>
                <w:szCs w:val="24"/>
                <w:lang w:eastAsia="zh-CN"/>
                <w14:textFill>
                  <w14:solidFill>
                    <w14:schemeClr w14:val="tx1"/>
                  </w14:solidFill>
                </w14:textFill>
              </w:rPr>
              <w:t>。经</w:t>
            </w:r>
            <w:r>
              <w:rPr>
                <w:rFonts w:hint="default" w:ascii="Times New Roman" w:hAnsi="Times New Roman" w:cs="Times New Roman"/>
                <w:color w:val="000000" w:themeColor="text1"/>
                <w:sz w:val="24"/>
                <w:szCs w:val="24"/>
                <w14:textFill>
                  <w14:solidFill>
                    <w14:schemeClr w14:val="tx1"/>
                  </w14:solidFill>
                </w14:textFill>
              </w:rPr>
              <w:t>集气罩+布袋除尘器+15m高排气筒</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DA001</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排放</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排放浓度可满足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《大气污染物综合排放标准》（GB16297-1996）中表2颗粒物（其他）二级标准限值要求</w:t>
            </w:r>
            <w:r>
              <w:rPr>
                <w:rFonts w:hint="eastAsia"/>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食堂工作时产生的油烟经油烟净化器处理后，引至屋顶排放（DA0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排放浓度满足《饮食业油烟排放标准》（GB18483－2001）</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型规模排放标准要求。</w:t>
            </w:r>
            <w:r>
              <w:rPr>
                <w:rFonts w:hint="eastAsia"/>
                <w:color w:val="000000" w:themeColor="text1"/>
                <w:sz w:val="24"/>
                <w:szCs w:val="24"/>
                <w:lang w:eastAsia="zh-CN"/>
                <w14:textFill>
                  <w14:solidFill>
                    <w14:schemeClr w14:val="tx1"/>
                  </w14:solidFill>
                </w14:textFill>
              </w:rPr>
              <w:t>未收集的</w:t>
            </w:r>
            <w:r>
              <w:rPr>
                <w:rFonts w:hint="eastAsia"/>
                <w:color w:val="000000" w:themeColor="text1"/>
                <w:sz w:val="24"/>
                <w:szCs w:val="24"/>
                <w:lang w:val="en-US" w:eastAsia="zh-CN"/>
                <w14:textFill>
                  <w14:solidFill>
                    <w14:schemeClr w14:val="tx1"/>
                  </w14:solidFill>
                </w14:textFill>
              </w:rPr>
              <w:t>无组织废气排放</w:t>
            </w:r>
            <w:r>
              <w:rPr>
                <w:rFonts w:hint="default"/>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加强</w:t>
            </w:r>
            <w:r>
              <w:rPr>
                <w:rFonts w:hint="default"/>
                <w:color w:val="000000" w:themeColor="text1"/>
                <w:sz w:val="24"/>
                <w:szCs w:val="24"/>
                <w14:textFill>
                  <w14:solidFill>
                    <w14:schemeClr w14:val="tx1"/>
                  </w14:solidFill>
                </w14:textFill>
              </w:rPr>
              <w:t>车间</w:t>
            </w:r>
            <w:r>
              <w:rPr>
                <w:rFonts w:hint="eastAsia"/>
                <w:color w:val="000000" w:themeColor="text1"/>
                <w:sz w:val="24"/>
                <w:szCs w:val="24"/>
                <w:lang w:eastAsia="zh-CN"/>
                <w14:textFill>
                  <w14:solidFill>
                    <w14:schemeClr w14:val="tx1"/>
                  </w14:solidFill>
                </w14:textFill>
              </w:rPr>
              <w:t>密闭处理</w:t>
            </w:r>
            <w:r>
              <w:rPr>
                <w:rFonts w:hint="default"/>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无组织排放执行《大气污染物综合排放标准》（GB16297-1996）</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不会对周边大气环境产生明显的不利影响。</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4.1.3  噪声防治措施</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default"/>
                <w:color w:val="000000" w:themeColor="text1"/>
                <w:sz w:val="24"/>
                <w:szCs w:val="24"/>
                <w14:textFill>
                  <w14:solidFill>
                    <w14:schemeClr w14:val="tx1"/>
                  </w14:solidFill>
                </w14:textFill>
              </w:rPr>
              <w:t>本项目噪声源主要为生产设备运行过程中产生的噪声，噪声源强约为</w:t>
            </w:r>
            <w:r>
              <w:rPr>
                <w:rFonts w:hint="eastAsia"/>
                <w:color w:val="000000" w:themeColor="text1"/>
                <w:sz w:val="24"/>
                <w:szCs w:val="24"/>
                <w:lang w:val="en-US" w:eastAsia="zh-CN"/>
                <w14:textFill>
                  <w14:solidFill>
                    <w14:schemeClr w14:val="tx1"/>
                  </w14:solidFill>
                </w14:textFill>
              </w:rPr>
              <w:t>70~85</w:t>
            </w:r>
            <w:r>
              <w:rPr>
                <w:rFonts w:hint="default"/>
                <w:color w:val="000000" w:themeColor="text1"/>
                <w:sz w:val="24"/>
                <w:szCs w:val="24"/>
                <w14:textFill>
                  <w14:solidFill>
                    <w14:schemeClr w14:val="tx1"/>
                  </w14:solidFill>
                </w14:textFill>
              </w:rPr>
              <w:t>dB（A），通过</w:t>
            </w:r>
            <w:r>
              <w:rPr>
                <w:rFonts w:hint="default"/>
                <w:color w:val="000000" w:themeColor="text1"/>
                <w:sz w:val="24"/>
                <w:szCs w:val="24"/>
                <w:lang w:val="en-US" w:eastAsia="zh-CN"/>
                <w14:textFill>
                  <w14:solidFill>
                    <w14:schemeClr w14:val="tx1"/>
                  </w14:solidFill>
                </w14:textFill>
              </w:rPr>
              <w:t>隔声、减震、自然衰减后</w:t>
            </w:r>
            <w:r>
              <w:rPr>
                <w:rFonts w:hint="default"/>
                <w:color w:val="000000" w:themeColor="text1"/>
                <w:sz w:val="24"/>
                <w:szCs w:val="24"/>
                <w14:textFill>
                  <w14:solidFill>
                    <w14:schemeClr w14:val="tx1"/>
                  </w14:solidFill>
                </w14:textFill>
              </w:rPr>
              <w:t>等措施后</w:t>
            </w:r>
            <w:r>
              <w:rPr>
                <w:rFonts w:hint="default"/>
                <w:color w:val="000000" w:themeColor="text1"/>
                <w:sz w:val="24"/>
                <w:szCs w:val="24"/>
                <w:lang w:val="zh-CN"/>
                <w14:textFill>
                  <w14:solidFill>
                    <w14:schemeClr w14:val="tx1"/>
                  </w14:solidFill>
                </w14:textFill>
              </w:rPr>
              <w:t>，</w:t>
            </w:r>
            <w:r>
              <w:rPr>
                <w:rFonts w:hint="default"/>
                <w:color w:val="000000" w:themeColor="text1"/>
                <w:sz w:val="24"/>
                <w:szCs w:val="24"/>
                <w14:textFill>
                  <w14:solidFill>
                    <w14:schemeClr w14:val="tx1"/>
                  </w14:solidFill>
                </w14:textFill>
              </w:rPr>
              <w:t>项目运营期厂界噪声执行《工业企业厂界环境噪声排放标准》（GB12348-2008）中3类区标准，因此项目不会对周围声环境产生明显的不利影响</w:t>
            </w:r>
            <w:r>
              <w:rPr>
                <w:rFonts w:hint="eastAsia"/>
                <w:color w:val="000000" w:themeColor="text1"/>
                <w:sz w:val="24"/>
                <w:szCs w:val="24"/>
                <w:lang w:eastAsia="zh-CN"/>
                <w14:textFill>
                  <w14:solidFill>
                    <w14:schemeClr w14:val="tx1"/>
                  </w14:solidFill>
                </w14:textFill>
              </w:rPr>
              <w:t>。</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4.1.4  固废污染防治措施</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废包装袋</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废编织袋集中收集后</w:t>
            </w:r>
            <w:r>
              <w:rPr>
                <w:rFonts w:hint="eastAsia" w:ascii="Times New Roman" w:hAnsi="Times New Roman" w:cs="Times New Roman"/>
                <w:color w:val="000000" w:themeColor="text1"/>
                <w:sz w:val="24"/>
                <w:szCs w:val="24"/>
                <w:lang w:val="en-US" w:eastAsia="zh-CN"/>
                <w14:textFill>
                  <w14:solidFill>
                    <w14:schemeClr w14:val="tx1"/>
                  </w14:solidFill>
                </w14:textFill>
              </w:rPr>
              <w:t>外售废品回收站；</w:t>
            </w:r>
            <w:r>
              <w:rPr>
                <w:rFonts w:hint="default" w:ascii="Times New Roman" w:hAnsi="Times New Roman" w:cs="Times New Roman"/>
                <w:color w:val="000000" w:themeColor="text1"/>
                <w:sz w:val="24"/>
                <w:szCs w:val="24"/>
                <w14:textFill>
                  <w14:solidFill>
                    <w14:schemeClr w14:val="tx1"/>
                  </w14:solidFill>
                </w14:textFill>
              </w:rPr>
              <w:t>除尘灰</w:t>
            </w:r>
            <w:r>
              <w:rPr>
                <w:rFonts w:hint="eastAsia" w:ascii="Times New Roman" w:hAnsi="Times New Roman" w:cs="Times New Roman"/>
                <w:color w:val="000000" w:themeColor="text1"/>
                <w:sz w:val="24"/>
                <w:szCs w:val="24"/>
                <w:lang w:val="en-US" w:eastAsia="zh-CN"/>
                <w14:textFill>
                  <w14:solidFill>
                    <w14:schemeClr w14:val="tx1"/>
                  </w14:solidFill>
                </w14:textFill>
              </w:rPr>
              <w:t>集中收集后外售养殖场</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生活垃圾收集后由当地环卫部门统一清运处理</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采取以上措施后，本项目所产生的固体废物均可得到妥善处理，处理率</w:t>
            </w:r>
            <w:r>
              <w:rPr>
                <w:rFonts w:hint="eastAsia"/>
                <w:color w:val="000000" w:themeColor="text1"/>
                <w:sz w:val="24"/>
                <w:szCs w:val="24"/>
                <w:lang w:eastAsia="zh-CN"/>
                <w14:textFill>
                  <w14:solidFill>
                    <w14:schemeClr w14:val="tx1"/>
                  </w14:solidFill>
                </w14:textFill>
              </w:rPr>
              <w:t>为</w:t>
            </w:r>
            <w:r>
              <w:rPr>
                <w:color w:val="000000" w:themeColor="text1"/>
                <w:sz w:val="24"/>
                <w:szCs w:val="24"/>
                <w14:textFill>
                  <w14:solidFill>
                    <w14:schemeClr w14:val="tx1"/>
                  </w14:solidFill>
                </w14:textFill>
              </w:rPr>
              <w:t>100%，对周围环境影响较小。</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4.2 环境影响评价批复的要求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宜春市丰城生态环境局《关于谷邑丰年产1万吨预糊化、膨化、益生菌发酵谷物粉生产线迁建项目环境影响报告表的批复》（</w:t>
            </w:r>
            <w:r>
              <w:rPr>
                <w:rFonts w:hint="eastAsia"/>
                <w:color w:val="000000" w:themeColor="text1"/>
                <w:sz w:val="24"/>
                <w:szCs w:val="24"/>
                <w:lang w:val="en-US" w:eastAsia="zh-CN"/>
                <w14:textFill>
                  <w14:solidFill>
                    <w14:schemeClr w14:val="tx1"/>
                  </w14:solidFill>
                </w14:textFill>
              </w:rPr>
              <w:t>丰环评字〔2021〕65号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，确定对该项目环保主要要求如下：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1、严格落实大气污染防治措施。本项目运营期产生的废气主要包括第一次粉碎、第二次粉碎、过筛工序产生的颗粒物和食堂油烟，项目废气经集气罩</w:t>
            </w:r>
            <w:r>
              <w:rPr>
                <w:rFonts w:hint="eastAsia"/>
                <w:color w:val="000000" w:themeColor="text1"/>
                <w:sz w:val="24"/>
                <w:szCs w:val="24"/>
                <w:lang w:val="en-US" w:eastAsia="zh-CN"/>
                <w14:textFill>
                  <w14:solidFill>
                    <w14:schemeClr w14:val="tx1"/>
                  </w14:solidFill>
                </w14:textFill>
              </w:rPr>
              <w:t>+脉冲布袋除尘器处理后须满足《大气污染物综合排放标准》（GB16297-1996）中表2中二级标准限值要求及无组织排放监控浓度限值要求后通过一根15m高排气筒排放。食堂油烟净化器处理后需满足《饮食业油烟排放标准》（GB18483-2001）小型规模排放标准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严格落实水污染防治措施。本项目废水主要为设备清洗废水、清洁废水和生活污水，项目废水依托江西恒顶生物食品有限公司污水处理站处理后须达到园区污水处理厂纳管标准要求，再通过园区污水管网排入园区污水处理厂深度处理后达标排放。</w:t>
            </w:r>
          </w:p>
          <w:p>
            <w:pPr>
              <w:keepNext w:val="0"/>
              <w:keepLines w:val="0"/>
              <w:pageBreakBefore w:val="0"/>
              <w:widowControl w:val="0"/>
              <w:numPr>
                <w:ilvl w:val="0"/>
                <w:numId w:val="2"/>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严格落实固体废物分类处置和综合利用措施。项目固废主要为废包装袋、除尘灰、生活垃圾等。项目产生的一般工业固体废物应合法处置，一般固废暂存间的设计、建设和运行须满足《一般工业固体废物贮存和填埋污染控制标准》（</w:t>
            </w:r>
            <w:r>
              <w:rPr>
                <w:rFonts w:hint="eastAsia"/>
                <w:color w:val="000000" w:themeColor="text1"/>
                <w:sz w:val="24"/>
                <w:szCs w:val="24"/>
                <w:lang w:val="en-US" w:eastAsia="zh-CN"/>
                <w14:textFill>
                  <w14:solidFill>
                    <w14:schemeClr w14:val="tx1"/>
                  </w14:solidFill>
                </w14:textFill>
              </w:rPr>
              <w:t>GB18599-2020</w:t>
            </w:r>
            <w:r>
              <w:rPr>
                <w:rFonts w:hint="eastAsia"/>
                <w:color w:val="000000" w:themeColor="text1"/>
                <w:sz w:val="24"/>
                <w:szCs w:val="24"/>
                <w:lang w:eastAsia="zh-CN"/>
                <w14:textFill>
                  <w14:solidFill>
                    <w14:schemeClr w14:val="tx1"/>
                  </w14:solidFill>
                </w14:textFill>
              </w:rPr>
              <w:t>）相关要求；危险废物暂存应满足《危险废物贮存污染控制标准》（</w:t>
            </w:r>
            <w:r>
              <w:rPr>
                <w:rFonts w:hint="eastAsia"/>
                <w:color w:val="000000" w:themeColor="text1"/>
                <w:sz w:val="24"/>
                <w:szCs w:val="24"/>
                <w:lang w:val="en-US" w:eastAsia="zh-CN"/>
                <w14:textFill>
                  <w14:solidFill>
                    <w14:schemeClr w14:val="tx1"/>
                  </w14:solidFill>
                </w14:textFill>
              </w:rPr>
              <w:t>GB18597-2023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4、严格落实环境噪声污染防治措施。项目噪声主要为生产设备噪声。尽量选用低噪声设备，采取隔声、消声、减振等有效措施控制环境噪声影响，厂界噪声必须满足《工业企业厂界环境噪声排放标准》（</w:t>
            </w:r>
            <w:r>
              <w:rPr>
                <w:rFonts w:hint="eastAsia"/>
                <w:color w:val="000000" w:themeColor="text1"/>
                <w:sz w:val="24"/>
                <w:szCs w:val="24"/>
                <w:lang w:val="en-US" w:eastAsia="zh-CN"/>
                <w14:textFill>
                  <w14:solidFill>
                    <w14:schemeClr w14:val="tx1"/>
                  </w14:solidFill>
                </w14:textFill>
              </w:rPr>
              <w:t>GB12348-2008</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3类标准要求。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5、排污口规范化。你单位应按国家有关规定设置规范的污染物排放口，并设立标志牌。</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6、严格落实环境风险防范措施。项目应严格落实《报告表》中提出的各项环境风险防范措施，认真制定环境风险应急预案，配备环境应急设施和装备，定期开展应急演练。一旦发生环境风险事故，必须启动应急预案，控制并削减项目对外环境的污染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7、总量指标。项目主要污染物总量控制指标为：</w:t>
            </w:r>
            <w:r>
              <w:rPr>
                <w:rFonts w:hint="eastAsia"/>
                <w:color w:val="000000" w:themeColor="text1"/>
                <w:sz w:val="24"/>
                <w:szCs w:val="24"/>
                <w:lang w:val="en-US" w:eastAsia="zh-CN"/>
                <w14:textFill>
                  <w14:solidFill>
                    <w14:schemeClr w14:val="tx1"/>
                  </w14:solidFill>
                </w14:textFill>
              </w:rPr>
              <w:t>COD≤0.22t/a，NH</w:t>
            </w:r>
            <w:r>
              <w:rPr>
                <w:rFonts w:hint="eastAsia"/>
                <w:color w:val="000000" w:themeColor="text1"/>
                <w:sz w:val="24"/>
                <w:szCs w:val="24"/>
                <w:vertAlign w:val="sub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-N≤0.019t/a。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8、信息公开要求。在施工和项目运营过程中，应建立畅通的公众参与平台，及时解决公众提出的环境问题，满足公众合理的环境诉求。定期发布企业环境信息，并主动接受社会监督。</w:t>
            </w:r>
          </w:p>
        </w:tc>
      </w:tr>
    </w:tbl>
    <w:p>
      <w:pPr>
        <w:pStyle w:val="5"/>
        <w:rPr>
          <w:b w:val="0"/>
          <w:bCs/>
          <w:color w:val="000000" w:themeColor="text1"/>
          <w:szCs w:val="24"/>
          <w14:textFill>
            <w14:solidFill>
              <w14:schemeClr w14:val="tx1"/>
            </w14:solidFill>
          </w14:textFill>
        </w:rPr>
      </w:pPr>
      <w:bookmarkStart w:id="5" w:name="_Toc523906059"/>
      <w:r>
        <w:rPr>
          <w:color w:val="000000" w:themeColor="text1"/>
          <w14:textFill>
            <w14:solidFill>
              <w14:schemeClr w14:val="tx1"/>
            </w14:solidFill>
          </w14:textFill>
        </w:rPr>
        <w:t>表</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验收监测质量保证及质量控制</w:t>
      </w:r>
      <w:bookmarkEnd w:id="5"/>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9287" w:type="dxa"/>
            <w:shd w:val="clear" w:color="auto" w:fill="auto"/>
          </w:tcPr>
          <w:p>
            <w:pPr>
              <w:spacing w:line="360" w:lineRule="auto"/>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5.1 监测分析方法</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各项污染物具体测定方法见表</w:t>
            </w:r>
            <w:r>
              <w:rPr>
                <w:rFonts w:hint="eastAsia"/>
                <w:color w:val="000000" w:themeColor="text1"/>
                <w:sz w:val="24"/>
                <w:szCs w:val="24"/>
                <w:highlight w:val="none"/>
                <w14:textFill>
                  <w14:solidFill>
                    <w14:schemeClr w14:val="tx1"/>
                  </w14:solidFill>
                </w14:textFill>
              </w:rPr>
              <w:t>5-1</w:t>
            </w:r>
            <w:r>
              <w:rPr>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表</w:t>
            </w:r>
            <w:r>
              <w:rPr>
                <w:rFonts w:hint="eastAsia"/>
                <w:b/>
                <w:color w:val="000000" w:themeColor="text1"/>
                <w:sz w:val="18"/>
                <w:szCs w:val="18"/>
                <w:highlight w:val="none"/>
                <w14:textFill>
                  <w14:solidFill>
                    <w14:schemeClr w14:val="tx1"/>
                  </w14:solidFill>
                </w14:textFill>
              </w:rPr>
              <w:t>5</w:t>
            </w:r>
            <w:r>
              <w:rPr>
                <w:b/>
                <w:color w:val="000000" w:themeColor="text1"/>
                <w:sz w:val="18"/>
                <w:szCs w:val="18"/>
                <w:highlight w:val="none"/>
                <w14:textFill>
                  <w14:solidFill>
                    <w14:schemeClr w14:val="tx1"/>
                  </w14:solidFill>
                </w14:textFill>
              </w:rPr>
              <w:t>-1 监测方法一览表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878"/>
              <w:gridCol w:w="2370"/>
              <w:gridCol w:w="1531"/>
              <w:gridCol w:w="214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序号</w:t>
                  </w:r>
                </w:p>
              </w:tc>
              <w:tc>
                <w:tcPr>
                  <w:tcW w:w="235"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检测类别</w:t>
                  </w:r>
                </w:p>
              </w:tc>
              <w:tc>
                <w:tcPr>
                  <w:tcW w:w="484"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检测依据</w:t>
                  </w:r>
                </w:p>
              </w:tc>
              <w:tc>
                <w:tcPr>
                  <w:tcW w:w="1309"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检测方法</w:t>
                  </w:r>
                </w:p>
              </w:tc>
              <w:tc>
                <w:tcPr>
                  <w:tcW w:w="846"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检测仪器及编号</w:t>
                  </w:r>
                </w:p>
              </w:tc>
              <w:tc>
                <w:tcPr>
                  <w:tcW w:w="1182"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方法检出限</w:t>
                  </w:r>
                </w:p>
              </w:tc>
              <w:tc>
                <w:tcPr>
                  <w:tcW w:w="705" w:type="pct"/>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235" w:type="pct"/>
                  <w:vMerge w:val="restar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水和废水</w:t>
                  </w:r>
                </w:p>
              </w:tc>
              <w:tc>
                <w:tcPr>
                  <w:tcW w:w="48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pH值</w:t>
                  </w:r>
                </w:p>
              </w:tc>
              <w:tc>
                <w:tcPr>
                  <w:tcW w:w="1309"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position w:val="-2"/>
                      <w:sz w:val="24"/>
                      <w:szCs w:val="24"/>
                      <w:lang w:val="en-US" w:eastAsia="zh-CN"/>
                      <w14:textFill>
                        <w14:solidFill>
                          <w14:schemeClr w14:val="tx1"/>
                        </w14:solidFill>
                      </w14:textFill>
                    </w:rPr>
                    <w:t xml:space="preserve">HJ </w:t>
                  </w:r>
                  <w:r>
                    <w:rPr>
                      <w:rFonts w:hint="eastAsia" w:ascii="Times New Roman" w:hAnsi="Times New Roman" w:cs="Times New Roman"/>
                      <w:color w:val="000000" w:themeColor="text1"/>
                      <w:position w:val="-2"/>
                      <w:sz w:val="24"/>
                      <w:szCs w:val="24"/>
                      <w:lang w:val="en-US" w:eastAsia="zh-CN"/>
                      <w14:textFill>
                        <w14:solidFill>
                          <w14:schemeClr w14:val="tx1"/>
                        </w14:solidFill>
                      </w14:textFill>
                    </w:rPr>
                    <w:t>1147</w:t>
                  </w:r>
                  <w:r>
                    <w:rPr>
                      <w:rFonts w:hint="default" w:ascii="Times New Roman" w:hAnsi="Times New Roman" w:cs="Times New Roman"/>
                      <w:color w:val="000000" w:themeColor="text1"/>
                      <w:position w:val="-2"/>
                      <w:sz w:val="24"/>
                      <w:szCs w:val="24"/>
                      <w:lang w:val="en-US" w:eastAsia="zh-CN"/>
                      <w14:textFill>
                        <w14:solidFill>
                          <w14:schemeClr w14:val="tx1"/>
                        </w14:solidFill>
                      </w14:textFill>
                    </w:rPr>
                    <w:t>-20</w:t>
                  </w:r>
                  <w:r>
                    <w:rPr>
                      <w:rFonts w:hint="eastAsia" w:ascii="Times New Roman" w:hAnsi="Times New Roman" w:cs="Times New Roman"/>
                      <w:color w:val="000000" w:themeColor="text1"/>
                      <w:position w:val="-2"/>
                      <w:sz w:val="24"/>
                      <w:szCs w:val="24"/>
                      <w:lang w:val="en-US" w:eastAsia="zh-CN"/>
                      <w14:textFill>
                        <w14:solidFill>
                          <w14:schemeClr w14:val="tx1"/>
                        </w14:solidFill>
                      </w14:textFill>
                    </w:rPr>
                    <w:t>20</w:t>
                  </w:r>
                </w:p>
              </w:tc>
              <w:tc>
                <w:tcPr>
                  <w:tcW w:w="846"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水质</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pH值的测定 电极法</w:t>
                  </w:r>
                </w:p>
              </w:tc>
              <w:tc>
                <w:tcPr>
                  <w:tcW w:w="1182" w:type="pct"/>
                  <w:vAlign w:val="center"/>
                </w:tcPr>
                <w:p>
                  <w:pPr>
                    <w:widowControl/>
                    <w:spacing w:line="280" w:lineRule="exact"/>
                    <w:ind w:left="105" w:hanging="120" w:hangingChars="50"/>
                    <w:jc w:val="center"/>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笔式</w:t>
                  </w:r>
                  <w:r>
                    <w:rPr>
                      <w:rFonts w:hint="default" w:ascii="Times New Roman" w:hAnsi="Times New Roman" w:eastAsia="宋体" w:cs="Times New Roman"/>
                      <w:color w:val="000000" w:themeColor="text1"/>
                      <w:kern w:val="0"/>
                      <w:sz w:val="24"/>
                      <w:szCs w:val="24"/>
                      <w14:textFill>
                        <w14:solidFill>
                          <w14:schemeClr w14:val="tx1"/>
                        </w14:solidFill>
                      </w14:textFill>
                    </w:rPr>
                    <w:t>pH</w:t>
                  </w: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检测</w:t>
                  </w:r>
                  <w:r>
                    <w:rPr>
                      <w:rFonts w:hint="default" w:ascii="Times New Roman" w:hAnsi="Times New Roman" w:eastAsia="宋体" w:cs="Times New Roman"/>
                      <w:color w:val="000000" w:themeColor="text1"/>
                      <w:kern w:val="0"/>
                      <w:sz w:val="24"/>
                      <w:szCs w:val="24"/>
                      <w14:textFill>
                        <w14:solidFill>
                          <w14:schemeClr w14:val="tx1"/>
                        </w14:solidFill>
                      </w14:textFill>
                    </w:rPr>
                    <w:t>计</w:t>
                  </w:r>
                </w:p>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QNLJC/YQ-189</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-01</w:t>
                  </w:r>
                </w:p>
              </w:tc>
              <w:tc>
                <w:tcPr>
                  <w:tcW w:w="705"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SS</w:t>
                  </w:r>
                </w:p>
              </w:tc>
              <w:tc>
                <w:tcPr>
                  <w:tcW w:w="1309"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GB/T 11901-1989</w:t>
                  </w:r>
                </w:p>
              </w:tc>
              <w:tc>
                <w:tcPr>
                  <w:tcW w:w="846"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重量法</w:t>
                  </w:r>
                </w:p>
              </w:tc>
              <w:tc>
                <w:tcPr>
                  <w:tcW w:w="1182"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分析天平FA2004</w:t>
                  </w:r>
                </w:p>
              </w:tc>
              <w:tc>
                <w:tcPr>
                  <w:tcW w:w="705"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氨氮</w:t>
                  </w:r>
                </w:p>
              </w:tc>
              <w:tc>
                <w:tcPr>
                  <w:tcW w:w="1309"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 535-2009</w:t>
                  </w:r>
                </w:p>
              </w:tc>
              <w:tc>
                <w:tcPr>
                  <w:tcW w:w="846"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水质 氨氮的测定</w:t>
                  </w:r>
                </w:p>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纳氏试剂分光光度法</w:t>
                  </w:r>
                </w:p>
              </w:tc>
              <w:tc>
                <w:tcPr>
                  <w:tcW w:w="1182"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可见分光光度计</w:t>
                  </w:r>
                </w:p>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QNLJC/YQ-070</w:t>
                  </w:r>
                </w:p>
              </w:tc>
              <w:tc>
                <w:tcPr>
                  <w:tcW w:w="705"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w:t>
                  </w:r>
                </w:p>
              </w:tc>
              <w:tc>
                <w:tcPr>
                  <w:tcW w:w="1309"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 636-2012</w:t>
                  </w:r>
                </w:p>
              </w:tc>
              <w:tc>
                <w:tcPr>
                  <w:tcW w:w="846"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碱性过硫酸钾消解</w:t>
                  </w:r>
                </w:p>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紫外分光光度法</w:t>
                  </w:r>
                </w:p>
              </w:tc>
              <w:tc>
                <w:tcPr>
                  <w:tcW w:w="1182"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紫外可见分光光度计</w:t>
                  </w:r>
                </w:p>
              </w:tc>
              <w:tc>
                <w:tcPr>
                  <w:tcW w:w="705"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总磷</w:t>
                  </w:r>
                </w:p>
              </w:tc>
              <w:tc>
                <w:tcPr>
                  <w:tcW w:w="1309"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GB/T11893-1989</w:t>
                  </w:r>
                </w:p>
              </w:tc>
              <w:tc>
                <w:tcPr>
                  <w:tcW w:w="846"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钼酸铵分光光度法</w:t>
                  </w:r>
                </w:p>
              </w:tc>
              <w:tc>
                <w:tcPr>
                  <w:tcW w:w="1182"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可见分光光度计</w:t>
                  </w:r>
                </w:p>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QNLJC/YQ-070</w:t>
                  </w:r>
                </w:p>
              </w:tc>
              <w:tc>
                <w:tcPr>
                  <w:tcW w:w="705" w:type="pct"/>
                  <w:vAlign w:val="center"/>
                </w:tcPr>
                <w:p>
                  <w:pPr>
                    <w:widowControl/>
                    <w:jc w:val="center"/>
                    <w:textAlignment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keepNext w:val="0"/>
                    <w:keepLines w:val="0"/>
                    <w:pageBreakBefore w:val="0"/>
                    <w:widowControl w:val="0"/>
                    <w:kinsoku/>
                    <w:wordWrap/>
                    <w:overflowPunct/>
                    <w:topLinePunct w:val="0"/>
                    <w:autoSpaceDE/>
                    <w:autoSpaceDN/>
                    <w:bidi w:val="0"/>
                    <w:snapToGrid/>
                    <w:spacing w:line="240" w:lineRule="auto"/>
                    <w:ind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Cr</w:t>
                  </w:r>
                </w:p>
              </w:tc>
              <w:tc>
                <w:tcPr>
                  <w:tcW w:w="1309"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 828-2017</w:t>
                  </w:r>
                </w:p>
              </w:tc>
              <w:tc>
                <w:tcPr>
                  <w:tcW w:w="846"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水质 化学需氧量的测定 </w:t>
                  </w:r>
                </w:p>
                <w:p>
                  <w:pPr>
                    <w:widowControl/>
                    <w:jc w:val="center"/>
                    <w:textAlignment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重铬酸盐法</w:t>
                  </w:r>
                </w:p>
              </w:tc>
              <w:tc>
                <w:tcPr>
                  <w:tcW w:w="1182" w:type="pct"/>
                  <w:vAlign w:val="center"/>
                </w:tcPr>
                <w:p>
                  <w:pPr>
                    <w:widowControl/>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酸式滴定管</w:t>
                  </w:r>
                </w:p>
                <w:p>
                  <w:pPr>
                    <w:widowControl/>
                    <w:jc w:val="center"/>
                    <w:textAlignment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QNLJC/YQ-173</w:t>
                  </w:r>
                </w:p>
              </w:tc>
              <w:tc>
                <w:tcPr>
                  <w:tcW w:w="705"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BOD</w:t>
                  </w:r>
                  <w:r>
                    <w:rPr>
                      <w:rFonts w:hint="default" w:ascii="Times New Roman" w:hAnsi="Times New Roman" w:cs="Times New Roman"/>
                      <w:color w:val="000000" w:themeColor="text1"/>
                      <w:sz w:val="24"/>
                      <w:szCs w:val="24"/>
                      <w:vertAlign w:val="subscript"/>
                      <w14:textFill>
                        <w14:solidFill>
                          <w14:schemeClr w14:val="tx1"/>
                        </w14:solidFill>
                      </w14:textFill>
                    </w:rPr>
                    <w:t>5</w:t>
                  </w:r>
                </w:p>
              </w:tc>
              <w:tc>
                <w:tcPr>
                  <w:tcW w:w="1309"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HJ505-2009</w:t>
                  </w:r>
                </w:p>
              </w:tc>
              <w:tc>
                <w:tcPr>
                  <w:tcW w:w="846"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稀释与接种法</w:t>
                  </w:r>
                </w:p>
              </w:tc>
              <w:tc>
                <w:tcPr>
                  <w:tcW w:w="1182"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生化培养箱</w:t>
                  </w:r>
                </w:p>
              </w:tc>
              <w:tc>
                <w:tcPr>
                  <w:tcW w:w="705"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动植物油</w:t>
                  </w:r>
                </w:p>
              </w:tc>
              <w:tc>
                <w:tcPr>
                  <w:tcW w:w="1309"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HJ637-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2018</w:t>
                  </w:r>
                </w:p>
              </w:tc>
              <w:tc>
                <w:tcPr>
                  <w:tcW w:w="846"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红外分光光度法</w:t>
                  </w:r>
                </w:p>
              </w:tc>
              <w:tc>
                <w:tcPr>
                  <w:tcW w:w="1182"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红外测油仪</w:t>
                  </w:r>
                </w:p>
              </w:tc>
              <w:tc>
                <w:tcPr>
                  <w:tcW w:w="705"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 xml:space="preserve">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w:t>
                  </w:r>
                </w:p>
              </w:tc>
              <w:tc>
                <w:tcPr>
                  <w:tcW w:w="235" w:type="pct"/>
                  <w:vMerge w:val="restar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环境空气与废气</w:t>
                  </w:r>
                </w:p>
              </w:tc>
              <w:tc>
                <w:tcPr>
                  <w:tcW w:w="484"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油烟</w:t>
                  </w:r>
                </w:p>
              </w:tc>
              <w:tc>
                <w:tcPr>
                  <w:tcW w:w="1309"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HJ1077-2019</w:t>
                  </w:r>
                </w:p>
              </w:tc>
              <w:tc>
                <w:tcPr>
                  <w:tcW w:w="846"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红外分光光度法</w:t>
                  </w:r>
                </w:p>
              </w:tc>
              <w:tc>
                <w:tcPr>
                  <w:tcW w:w="1182"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红外测油仪</w:t>
                  </w:r>
                </w:p>
              </w:tc>
              <w:tc>
                <w:tcPr>
                  <w:tcW w:w="705"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0.1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颗粒物</w:t>
                  </w:r>
                </w:p>
              </w:tc>
              <w:tc>
                <w:tcPr>
                  <w:tcW w:w="1309"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HJ 836-2017</w:t>
                  </w:r>
                </w:p>
              </w:tc>
              <w:tc>
                <w:tcPr>
                  <w:tcW w:w="846"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重量法</w:t>
                  </w:r>
                </w:p>
              </w:tc>
              <w:tc>
                <w:tcPr>
                  <w:tcW w:w="1182" w:type="pct"/>
                  <w:vAlign w:val="center"/>
                </w:tcPr>
                <w:p>
                  <w:pPr>
                    <w:spacing w:line="260" w:lineRule="exact"/>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低浓度自动烟尘烟气综合测试仪附件箱ZR-3260D</w:t>
                  </w:r>
                </w:p>
              </w:tc>
              <w:tc>
                <w:tcPr>
                  <w:tcW w:w="705"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1.0mg/m</w:t>
                  </w:r>
                  <w:r>
                    <w:rPr>
                      <w:rFonts w:hint="default" w:ascii="Times New Roman" w:hAnsi="Times New Roman" w:cs="Times New Roman"/>
                      <w:color w:val="000000" w:themeColor="text1"/>
                      <w:sz w:val="24"/>
                      <w:szCs w:val="24"/>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Align w:val="center"/>
                </w:tcPr>
                <w:p>
                  <w:pPr>
                    <w:pStyle w:val="38"/>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11</w:t>
                  </w:r>
                </w:p>
              </w:tc>
              <w:tc>
                <w:tcPr>
                  <w:tcW w:w="235" w:type="pct"/>
                  <w:vMerge w:val="continue"/>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484" w:type="pct"/>
                  <w:vAlign w:val="center"/>
                </w:tcPr>
                <w:p>
                  <w:pPr>
                    <w:pStyle w:val="21"/>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颗粒物</w:t>
                  </w:r>
                </w:p>
              </w:tc>
              <w:tc>
                <w:tcPr>
                  <w:tcW w:w="1309"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HJ 1263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2022</w:t>
                  </w:r>
                </w:p>
              </w:tc>
              <w:tc>
                <w:tcPr>
                  <w:tcW w:w="846"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重量法</w:t>
                  </w:r>
                </w:p>
              </w:tc>
              <w:tc>
                <w:tcPr>
                  <w:tcW w:w="1182"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电子天平QNLJC/YQ-003-03</w:t>
                  </w:r>
                </w:p>
              </w:tc>
              <w:tc>
                <w:tcPr>
                  <w:tcW w:w="705" w:type="pct"/>
                  <w:vAlign w:val="center"/>
                </w:tcPr>
                <w:p>
                  <w:pPr>
                    <w:tabs>
                      <w:tab w:val="left" w:pos="2100"/>
                    </w:tabs>
                    <w:spacing w:line="320" w:lineRule="exact"/>
                    <w:jc w:val="center"/>
                    <w:textAlignment w:val="baseline"/>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 μg/m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7" w:hRule="atLeast"/>
                <w:jc w:val="center"/>
              </w:trPr>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235" w:type="pct"/>
                  <w:vAlign w:val="center"/>
                </w:tcPr>
                <w:p>
                  <w:pPr>
                    <w:pStyle w:val="38"/>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噪声</w:t>
                  </w:r>
                </w:p>
              </w:tc>
              <w:tc>
                <w:tcPr>
                  <w:tcW w:w="484" w:type="pct"/>
                  <w:vAlign w:val="center"/>
                </w:tcPr>
                <w:p>
                  <w:pPr>
                    <w:pStyle w:val="21"/>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厂界噪声</w:t>
                  </w:r>
                </w:p>
              </w:tc>
              <w:tc>
                <w:tcPr>
                  <w:tcW w:w="1309" w:type="pct"/>
                  <w:vAlign w:val="center"/>
                </w:tcPr>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GB </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12348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-2008</w:t>
                  </w:r>
                </w:p>
              </w:tc>
              <w:tc>
                <w:tcPr>
                  <w:tcW w:w="846" w:type="pct"/>
                  <w:vAlign w:val="center"/>
                </w:tcPr>
                <w:p>
                  <w:pPr>
                    <w:widowControl/>
                    <w:jc w:val="center"/>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eastAsia="zh-CN"/>
                      <w14:textFill>
                        <w14:solidFill>
                          <w14:schemeClr w14:val="tx1"/>
                        </w14:solidFill>
                      </w14:textFill>
                    </w:rPr>
                    <w:t>工业企业厂界</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环境噪声</w:t>
                  </w:r>
                </w:p>
                <w:p>
                  <w:pPr>
                    <w:widowControl/>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排放标准</w:t>
                  </w:r>
                </w:p>
              </w:tc>
              <w:tc>
                <w:tcPr>
                  <w:tcW w:w="1182" w:type="pct"/>
                  <w:vAlign w:val="center"/>
                </w:tcPr>
                <w:p>
                  <w:pPr>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噪声频谱分析仪</w:t>
                  </w:r>
                </w:p>
                <w:p>
                  <w:pPr>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QNLJC/YQ-0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38-03</w:t>
                  </w:r>
                </w:p>
              </w:tc>
              <w:tc>
                <w:tcPr>
                  <w:tcW w:w="705" w:type="pct"/>
                  <w:vAlign w:val="center"/>
                </w:tcPr>
                <w:p>
                  <w:pPr>
                    <w:widowControl/>
                    <w:spacing w:line="280" w:lineRule="exact"/>
                    <w:ind w:left="120" w:leftChars="0" w:hanging="120" w:hangingChars="5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b/>
                      <w:bCs/>
                      <w:i w:val="0"/>
                      <w:color w:val="000000" w:themeColor="text1"/>
                      <w:kern w:val="0"/>
                      <w:sz w:val="24"/>
                      <w:szCs w:val="24"/>
                      <w:highlight w:val="none"/>
                      <w:u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5000" w:type="pct"/>
                  <w:gridSpan w:val="7"/>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注：ND 表示低于方法检出限。</w:t>
                  </w:r>
                </w:p>
              </w:tc>
            </w:tr>
          </w:tbl>
          <w:p>
            <w:pPr>
              <w:spacing w:before="156" w:beforeLines="50" w:line="312"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 xml:space="preserve">5.2 </w:t>
            </w:r>
            <w:r>
              <w:rPr>
                <w:b/>
                <w:color w:val="000000" w:themeColor="text1"/>
                <w:sz w:val="24"/>
                <w:szCs w:val="24"/>
                <w:highlight w:val="none"/>
                <w14:textFill>
                  <w14:solidFill>
                    <w14:schemeClr w14:val="tx1"/>
                  </w14:solidFill>
                </w14:textFill>
              </w:rPr>
              <w:t>监测质量保证措施</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1、严格执行</w:t>
            </w:r>
            <w:r>
              <w:rPr>
                <w:rFonts w:hint="eastAsia"/>
                <w:color w:val="000000" w:themeColor="text1"/>
                <w:sz w:val="24"/>
                <w:szCs w:val="24"/>
                <w:highlight w:val="none"/>
                <w14:textFill>
                  <w14:solidFill>
                    <w14:schemeClr w14:val="tx1"/>
                  </w14:solidFill>
                </w14:textFill>
              </w:rPr>
              <w:t>生态环境</w:t>
            </w:r>
            <w:r>
              <w:rPr>
                <w:color w:val="000000" w:themeColor="text1"/>
                <w:sz w:val="24"/>
                <w:szCs w:val="24"/>
                <w:highlight w:val="none"/>
                <w14:textFill>
                  <w14:solidFill>
                    <w14:schemeClr w14:val="tx1"/>
                  </w14:solidFill>
                </w14:textFill>
              </w:rPr>
              <w:t>部颁布的环境监测相关技术规范与标准方法，实施检测全过程的质量控制。</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2、所有</w:t>
            </w:r>
            <w:r>
              <w:rPr>
                <w:rFonts w:hint="eastAsia"/>
                <w:color w:val="000000" w:themeColor="text1"/>
                <w:sz w:val="24"/>
                <w:szCs w:val="24"/>
                <w:highlight w:val="none"/>
                <w14:textFill>
                  <w14:solidFill>
                    <w14:schemeClr w14:val="tx1"/>
                  </w14:solidFill>
                </w14:textFill>
              </w:rPr>
              <w:t>检</w:t>
            </w:r>
            <w:r>
              <w:rPr>
                <w:color w:val="000000" w:themeColor="text1"/>
                <w:sz w:val="24"/>
                <w:szCs w:val="24"/>
                <w:highlight w:val="none"/>
                <w14:textFill>
                  <w14:solidFill>
                    <w14:schemeClr w14:val="tx1"/>
                  </w14:solidFill>
                </w14:textFill>
              </w:rPr>
              <w:t>测分析仪器均经检定并在有效期内，且参照有关计量检定规程定期进行校验和维护。</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3、严格按照国家规定的监测分析方法标准和相应的技术规范进行采样及检测。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4、为确保检测数据的准确、可靠，在样品的采集、运输、保存、实验室分析和数据计算 的全过程均按照相关技术规范的要求进行。</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样品采取</w:t>
            </w:r>
            <w:r>
              <w:rPr>
                <w:rFonts w:hint="eastAsia"/>
                <w:color w:val="000000" w:themeColor="text1"/>
                <w:sz w:val="24"/>
                <w:szCs w:val="24"/>
                <w:highlight w:val="none"/>
                <w14:textFill>
                  <w14:solidFill>
                    <w14:schemeClr w14:val="tx1"/>
                  </w14:solidFill>
                </w14:textFill>
              </w:rPr>
              <w:t>平行双样测定</w:t>
            </w:r>
            <w:r>
              <w:rPr>
                <w:color w:val="000000" w:themeColor="text1"/>
                <w:sz w:val="24"/>
                <w:szCs w:val="24"/>
                <w:highlight w:val="none"/>
                <w14:textFill>
                  <w14:solidFill>
                    <w14:schemeClr w14:val="tx1"/>
                  </w14:solidFill>
                </w14:textFill>
              </w:rPr>
              <w:t>方式进行质量控制，</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样品质控样分析结果在质控要求范围内。</w:t>
            </w:r>
          </w:p>
          <w:p>
            <w:pPr>
              <w:adjustRightInd w:val="0"/>
              <w:snapToGrid w:val="0"/>
              <w:spacing w:line="360" w:lineRule="auto"/>
              <w:ind w:firstLine="480" w:firstLineChars="200"/>
              <w:rPr>
                <w:color w:val="000000" w:themeColor="text1"/>
                <w:sz w:val="24"/>
                <w:szCs w:val="24"/>
                <w:highlight w:val="yellow"/>
                <w14:textFill>
                  <w14:solidFill>
                    <w14:schemeClr w14:val="tx1"/>
                  </w14:solidFill>
                </w14:textFill>
              </w:rPr>
            </w:pPr>
            <w:r>
              <w:rPr>
                <w:color w:val="000000" w:themeColor="text1"/>
                <w:sz w:val="24"/>
                <w:szCs w:val="24"/>
                <w:highlight w:val="none"/>
                <w14:textFill>
                  <w14:solidFill>
                    <w14:schemeClr w14:val="tx1"/>
                  </w14:solidFill>
                </w14:textFill>
              </w:rPr>
              <w:t>6、监测人员经考核合格，持证上岗。</w:t>
            </w:r>
          </w:p>
        </w:tc>
      </w:tr>
    </w:tbl>
    <w:p>
      <w:pPr>
        <w:pStyle w:val="5"/>
        <w:rPr>
          <w:b w:val="0"/>
          <w:bCs/>
          <w:color w:val="000000" w:themeColor="text1"/>
          <w:szCs w:val="24"/>
          <w14:textFill>
            <w14:solidFill>
              <w14:schemeClr w14:val="tx1"/>
            </w14:solidFill>
          </w14:textFill>
        </w:rPr>
      </w:pPr>
      <w:bookmarkStart w:id="6" w:name="_Toc523906060"/>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验收监测内容</w:t>
      </w:r>
      <w:bookmarkEnd w:id="6"/>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采用资料收集、实地踏勘论证的方法，以建设项目环境影响</w:t>
            </w:r>
            <w:r>
              <w:rPr>
                <w:rFonts w:hint="eastAsia"/>
                <w:color w:val="000000" w:themeColor="text1"/>
                <w:sz w:val="24"/>
                <w:szCs w:val="24"/>
                <w:highlight w:val="none"/>
                <w14:textFill>
                  <w14:solidFill>
                    <w14:schemeClr w14:val="tx1"/>
                  </w14:solidFill>
                </w14:textFill>
              </w:rPr>
              <w:t>报告表</w:t>
            </w:r>
            <w:r>
              <w:rPr>
                <w:color w:val="000000" w:themeColor="text1"/>
                <w:sz w:val="24"/>
                <w:szCs w:val="24"/>
                <w:highlight w:val="none"/>
                <w14:textFill>
                  <w14:solidFill>
                    <w14:schemeClr w14:val="tx1"/>
                  </w14:solidFill>
                </w14:textFill>
              </w:rPr>
              <w:t>、批复为依据，对项目污染源及其环保设施进行监测、检查和验收。</w:t>
            </w:r>
          </w:p>
          <w:p>
            <w:pPr>
              <w:pStyle w:val="90"/>
              <w:ind w:firstLine="482"/>
              <w:rPr>
                <w:color w:val="000000" w:themeColor="text1"/>
                <w:highlight w:val="none"/>
                <w14:textFill>
                  <w14:solidFill>
                    <w14:schemeClr w14:val="tx1"/>
                  </w14:solidFill>
                </w14:textFill>
              </w:rPr>
            </w:pPr>
            <w:r>
              <w:rPr>
                <w:b/>
                <w:color w:val="000000" w:themeColor="text1"/>
                <w:szCs w:val="24"/>
                <w:highlight w:val="none"/>
                <w14:textFill>
                  <w14:solidFill>
                    <w14:schemeClr w14:val="tx1"/>
                  </w14:solidFill>
                </w14:textFill>
              </w:rPr>
              <w:t>验收监测方案</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1、有组织排放废气监测</w:t>
            </w:r>
          </w:p>
          <w:p>
            <w:pPr>
              <w:adjustRightInd w:val="0"/>
              <w:snapToGrid w:val="0"/>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排气筒DA00</w:t>
            </w:r>
            <w:r>
              <w:rPr>
                <w:rFonts w:hint="eastAsia"/>
                <w:color w:val="000000" w:themeColor="text1"/>
                <w:sz w:val="24"/>
                <w:szCs w:val="24"/>
                <w:highlight w:val="none"/>
                <w:lang w:val="en-US" w:eastAsia="zh-CN"/>
                <w14:textFill>
                  <w14:solidFill>
                    <w14:schemeClr w14:val="tx1"/>
                  </w14:solidFill>
                </w14:textFill>
              </w:rPr>
              <w:t>1</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监测点位：排气筒DA00</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出口；</w:t>
            </w:r>
          </w:p>
          <w:p>
            <w:pPr>
              <w:adjustRightInd w:val="0"/>
              <w:snapToGrid w:val="0"/>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eastAsia="zh-CN"/>
                <w14:textFill>
                  <w14:solidFill>
                    <w14:schemeClr w14:val="tx1"/>
                  </w14:solidFill>
                </w14:textFill>
              </w:rPr>
              <w:t>颗粒物</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14:textFill>
                  <w14:solidFill>
                    <w14:schemeClr w14:val="tx1"/>
                  </w14:solidFill>
                </w14:textFill>
              </w:rPr>
              <w:t>3次/天，监测2天。</w:t>
            </w:r>
          </w:p>
          <w:p>
            <w:pPr>
              <w:numPr>
                <w:ilvl w:val="0"/>
                <w:numId w:val="3"/>
              </w:num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排气筒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DA002</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监测点位：排气筒DA00</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出口；</w:t>
            </w:r>
          </w:p>
          <w:p>
            <w:pPr>
              <w:adjustRightInd w:val="0"/>
              <w:snapToGrid w:val="0"/>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eastAsia="zh-CN"/>
                <w14:textFill>
                  <w14:solidFill>
                    <w14:schemeClr w14:val="tx1"/>
                  </w14:solidFill>
                </w14:textFill>
              </w:rPr>
              <w:t>油烟</w:t>
            </w:r>
          </w:p>
          <w:p>
            <w:pPr>
              <w:adjustRightInd w:val="0"/>
              <w:snapToGrid w:val="0"/>
              <w:spacing w:line="360" w:lineRule="auto"/>
              <w:ind w:firstLine="480" w:firstLineChars="200"/>
              <w:rPr>
                <w:rFonts w:hint="default"/>
                <w:color w:val="000000" w:themeColor="text1"/>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14:textFill>
                  <w14:solidFill>
                    <w14:schemeClr w14:val="tx1"/>
                  </w14:solidFill>
                </w14:textFill>
              </w:rPr>
              <w:t>3次/天，监测2天。</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2、无组织排放废气监测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lang w:val="en-US" w:eastAsia="zh-CN"/>
                <w14:textFill>
                  <w14:solidFill>
                    <w14:schemeClr w14:val="tx1"/>
                  </w14:solidFill>
                </w14:textFill>
              </w:rPr>
              <w:t>厂界上风向检测点</w:t>
            </w:r>
            <w:r>
              <w:rPr>
                <w:color w:val="000000" w:themeColor="text1"/>
                <w:sz w:val="24"/>
                <w:szCs w:val="24"/>
                <w:highlight w:val="none"/>
                <w14:textFill>
                  <w14:solidFill>
                    <w14:schemeClr w14:val="tx1"/>
                  </w14:solidFill>
                </w14:textFill>
              </w:rPr>
              <w:t>、厂界下风向（</w:t>
            </w:r>
            <w:r>
              <w:rPr>
                <w:rFonts w:hint="eastAsia"/>
                <w:color w:val="000000" w:themeColor="text1"/>
                <w:sz w:val="24"/>
                <w:szCs w:val="24"/>
                <w:highlight w:val="none"/>
                <w:lang w:val="en-US" w:eastAsia="zh-CN"/>
                <w14:textFill>
                  <w14:solidFill>
                    <w14:schemeClr w14:val="tx1"/>
                  </w14:solidFill>
                </w14:textFill>
              </w:rPr>
              <w:t>1#、2#、3#</w:t>
            </w:r>
            <w:r>
              <w:rPr>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eastAsia="zh-CN"/>
                <w14:textFill>
                  <w14:solidFill>
                    <w14:schemeClr w14:val="tx1"/>
                  </w14:solidFill>
                </w14:textFill>
              </w:rPr>
              <w:t>颗粒物</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3、废水监测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废水总排口（DW001）</w:t>
            </w:r>
            <w:r>
              <w:rPr>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ascii="Times New Roman" w:hAnsi="Times New Roman" w:eastAsia="宋体" w:cs="Times New Roman"/>
                <w:color w:val="000000" w:themeColor="text1"/>
                <w:sz w:val="24"/>
                <w:szCs w:val="24"/>
                <w:highlight w:val="none"/>
                <w14:textFill>
                  <w14:solidFill>
                    <w14:schemeClr w14:val="tx1"/>
                  </w14:solidFill>
                </w14:textFill>
              </w:rPr>
              <w:t>pH、COD</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Cr</w:t>
            </w:r>
            <w:r>
              <w:rPr>
                <w:rFonts w:hint="eastAsia" w:ascii="Times New Roman" w:hAnsi="Times New Roman" w:eastAsia="宋体" w:cs="Times New Roman"/>
                <w:color w:val="000000" w:themeColor="text1"/>
                <w:sz w:val="24"/>
                <w:szCs w:val="24"/>
                <w:highlight w:val="none"/>
                <w14:textFill>
                  <w14:solidFill>
                    <w14:schemeClr w14:val="tx1"/>
                  </w14:solidFill>
                </w14:textFill>
              </w:rPr>
              <w:t>、BOD</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、氨氮、SS、TP、TN、动植物油</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4、噪声监测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沿厂界四周共</w:t>
            </w:r>
            <w:r>
              <w:rPr>
                <w:color w:val="000000" w:themeColor="text1"/>
                <w:sz w:val="24"/>
                <w:szCs w:val="24"/>
                <w:highlight w:val="none"/>
                <w14:textFill>
                  <w14:solidFill>
                    <w14:schemeClr w14:val="tx1"/>
                  </w14:solidFill>
                </w14:textFill>
              </w:rPr>
              <w:t>布设4个监测点位（N1～N4）；</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监测项目：厂界</w:t>
            </w:r>
            <w:r>
              <w:rPr>
                <w:rFonts w:hint="eastAsia"/>
                <w:color w:val="000000" w:themeColor="text1"/>
                <w:sz w:val="24"/>
                <w:szCs w:val="24"/>
                <w:highlight w:val="none"/>
                <w:lang w:eastAsia="zh-CN"/>
                <w14:textFill>
                  <w14:solidFill>
                    <w14:schemeClr w14:val="tx1"/>
                  </w14:solidFill>
                </w14:textFill>
              </w:rPr>
              <w:t>环境</w:t>
            </w:r>
            <w:r>
              <w:rPr>
                <w:color w:val="000000" w:themeColor="text1"/>
                <w:sz w:val="24"/>
                <w:szCs w:val="24"/>
                <w:highlight w:val="none"/>
                <w14:textFill>
                  <w14:solidFill>
                    <w14:schemeClr w14:val="tx1"/>
                  </w14:solidFill>
                </w14:textFill>
              </w:rPr>
              <w:t>噪声；</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监测频次：昼、夜各监测1次，监测2天。</w:t>
            </w:r>
          </w:p>
          <w:p>
            <w:pPr>
              <w:spacing w:line="360" w:lineRule="auto"/>
              <w:ind w:firstLine="420" w:firstLineChars="200"/>
              <w:rPr>
                <w:color w:val="000000" w:themeColor="text1"/>
                <w:szCs w:val="21"/>
                <w:highlight w:val="yellow"/>
                <w14:textFill>
                  <w14:solidFill>
                    <w14:schemeClr w14:val="tx1"/>
                  </w14:solidFill>
                </w14:textFill>
              </w:rPr>
            </w:pPr>
          </w:p>
          <w:p>
            <w:pPr>
              <w:spacing w:line="360" w:lineRule="auto"/>
              <w:ind w:firstLine="480" w:firstLineChars="200"/>
              <w:rPr>
                <w:color w:val="000000" w:themeColor="text1"/>
                <w:sz w:val="24"/>
                <w:highlight w:val="yellow"/>
                <w14:textFill>
                  <w14:solidFill>
                    <w14:schemeClr w14:val="tx1"/>
                  </w14:solidFill>
                </w14:textFill>
              </w:rPr>
            </w:pPr>
          </w:p>
        </w:tc>
      </w:tr>
    </w:tbl>
    <w:p>
      <w:pPr>
        <w:pStyle w:val="5"/>
        <w:rPr>
          <w:b w:val="0"/>
          <w:bCs/>
          <w:color w:val="000000" w:themeColor="text1"/>
          <w:szCs w:val="24"/>
          <w14:textFill>
            <w14:solidFill>
              <w14:schemeClr w14:val="tx1"/>
            </w14:solidFill>
          </w14:textFill>
        </w:rPr>
      </w:pPr>
      <w:bookmarkStart w:id="7" w:name="_Toc523906061"/>
      <w:r>
        <w:rPr>
          <w:color w:val="000000" w:themeColor="text1"/>
          <w14:textFill>
            <w14:solidFill>
              <w14:schemeClr w14:val="tx1"/>
            </w14:solidFill>
          </w14:textFill>
        </w:rPr>
        <w:t>表</w:t>
      </w:r>
      <w:r>
        <w:rPr>
          <w:rFonts w:hint="eastAsia"/>
          <w:color w:val="000000" w:themeColor="text1"/>
          <w14:textFill>
            <w14:solidFill>
              <w14:schemeClr w14:val="tx1"/>
            </w14:solidFill>
          </w14:textFill>
        </w:rPr>
        <w:t>七</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验收</w:t>
      </w:r>
      <w:r>
        <w:rPr>
          <w:color w:val="000000" w:themeColor="text1"/>
          <w14:textFill>
            <w14:solidFill>
              <w14:schemeClr w14:val="tx1"/>
            </w14:solidFill>
          </w14:textFill>
        </w:rPr>
        <w:t>监测结果及分析</w:t>
      </w:r>
      <w:bookmarkEnd w:id="7"/>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tcBorders>
              <w:top w:val="single" w:color="auto" w:sz="12" w:space="0"/>
              <w:bottom w:val="single" w:color="auto" w:sz="4" w:space="0"/>
            </w:tcBorders>
            <w:shd w:val="clear" w:color="auto" w:fill="auto"/>
          </w:tcPr>
          <w:p>
            <w:pPr>
              <w:spacing w:line="360" w:lineRule="auto"/>
              <w:rPr>
                <w:b/>
                <w:color w:val="000000" w:themeColor="text1"/>
                <w:sz w:val="24"/>
                <w:szCs w:val="24"/>
                <w:highlight w:val="none"/>
                <w14:textFill>
                  <w14:solidFill>
                    <w14:schemeClr w14:val="tx1"/>
                  </w14:solidFill>
                </w14:textFill>
              </w:rPr>
            </w:pPr>
            <w:bookmarkStart w:id="8" w:name="OLE_LINK15"/>
            <w:r>
              <w:rPr>
                <w:b/>
                <w:color w:val="000000" w:themeColor="text1"/>
                <w:sz w:val="24"/>
                <w:szCs w:val="24"/>
                <w:highlight w:val="none"/>
                <w14:textFill>
                  <w14:solidFill>
                    <w14:schemeClr w14:val="tx1"/>
                  </w14:solidFill>
                </w14:textFill>
              </w:rPr>
              <w:t>7.1 监测期间工况调查</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根据现场调查及厂方提供的资料，</w:t>
            </w:r>
            <w:r>
              <w:rPr>
                <w:rFonts w:hint="eastAsia"/>
                <w:color w:val="000000" w:themeColor="text1"/>
                <w:sz w:val="24"/>
                <w:szCs w:val="24"/>
                <w:highlight w:val="none"/>
                <w14:textFill>
                  <w14:solidFill>
                    <w14:schemeClr w14:val="tx1"/>
                  </w14:solidFill>
                </w14:textFill>
              </w:rPr>
              <w:t>验收时</w:t>
            </w:r>
            <w:r>
              <w:rPr>
                <w:color w:val="000000" w:themeColor="text1"/>
                <w:sz w:val="24"/>
                <w:szCs w:val="24"/>
                <w:highlight w:val="none"/>
                <w14:textFill>
                  <w14:solidFill>
                    <w14:schemeClr w14:val="tx1"/>
                  </w14:solidFill>
                </w14:textFill>
              </w:rPr>
              <w:t>实际</w:t>
            </w:r>
            <w:r>
              <w:rPr>
                <w:rFonts w:hint="eastAsia"/>
                <w:color w:val="000000" w:themeColor="text1"/>
                <w:sz w:val="24"/>
                <w:szCs w:val="24"/>
                <w:highlight w:val="none"/>
                <w:lang w:eastAsia="zh-CN"/>
                <w14:textFill>
                  <w14:solidFill>
                    <w14:schemeClr w14:val="tx1"/>
                  </w14:solidFill>
                </w14:textFill>
              </w:rPr>
              <w:t>能够达到环评产能</w:t>
            </w:r>
            <w:r>
              <w:rPr>
                <w:color w:val="000000" w:themeColor="text1"/>
                <w:sz w:val="24"/>
                <w:szCs w:val="24"/>
                <w:highlight w:val="none"/>
                <w14:textFill>
                  <w14:solidFill>
                    <w14:schemeClr w14:val="tx1"/>
                  </w14:solidFill>
                </w14:textFill>
              </w:rPr>
              <w:t>。</w:t>
            </w:r>
          </w:p>
          <w:p>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 污染源排放监测结果</w:t>
            </w:r>
          </w:p>
          <w:p>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7.2.1 有组织废气排放监测结果及分析</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项目有组织排放废气监测结果见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jc w:val="center"/>
              <w:rPr>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表7-1 有组织废气</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DA001</w:t>
            </w:r>
            <w:r>
              <w:rPr>
                <w:rFonts w:hint="eastAsia"/>
                <w:b/>
                <w:color w:val="000000" w:themeColor="text1"/>
                <w:szCs w:val="21"/>
                <w:highlight w:val="none"/>
                <w:lang w:eastAsia="zh-CN"/>
                <w14:textFill>
                  <w14:solidFill>
                    <w14:schemeClr w14:val="tx1"/>
                  </w14:solidFill>
                </w14:textFill>
              </w:rPr>
              <w:t>）</w:t>
            </w:r>
            <w:r>
              <w:rPr>
                <w:b/>
                <w:color w:val="000000" w:themeColor="text1"/>
                <w:szCs w:val="21"/>
                <w:highlight w:val="none"/>
                <w14:textFill>
                  <w14:solidFill>
                    <w14:schemeClr w14:val="tx1"/>
                  </w14:solidFill>
                </w14:textFill>
              </w:rPr>
              <w:t>监测结果一览表</w:t>
            </w:r>
          </w:p>
          <w:tbl>
            <w:tblPr>
              <w:tblStyle w:val="32"/>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44"/>
              <w:gridCol w:w="1026"/>
              <w:gridCol w:w="805"/>
              <w:gridCol w:w="1672"/>
              <w:gridCol w:w="946"/>
              <w:gridCol w:w="1002"/>
              <w:gridCol w:w="877"/>
              <w:gridCol w:w="877"/>
              <w:gridCol w:w="8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62" w:type="pct"/>
                  <w:vMerge w:val="restart"/>
                  <w:tcBorders>
                    <w:tl2br w:val="nil"/>
                    <w:tr2bl w:val="nil"/>
                  </w:tcBorders>
                  <w:vAlign w:val="center"/>
                </w:tcPr>
                <w:p>
                  <w:pPr>
                    <w:pStyle w:val="71"/>
                    <w:jc w:val="cente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t>点位编号及</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名称</w:t>
                  </w:r>
                </w:p>
              </w:tc>
              <w:tc>
                <w:tcPr>
                  <w:tcW w:w="568" w:type="pct"/>
                  <w:vMerge w:val="restart"/>
                  <w:tcBorders>
                    <w:tl2br w:val="nil"/>
                    <w:tr2bl w:val="nil"/>
                  </w:tcBorders>
                  <w:vAlign w:val="center"/>
                </w:tcPr>
                <w:p>
                  <w:pPr>
                    <w:pStyle w:val="71"/>
                    <w:jc w:val="cente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t>监测日期</w:t>
                  </w:r>
                </w:p>
              </w:tc>
              <w:tc>
                <w:tcPr>
                  <w:tcW w:w="1370" w:type="pct"/>
                  <w:gridSpan w:val="2"/>
                  <w:vMerge w:val="restart"/>
                  <w:tcBorders>
                    <w:tl2br w:val="nil"/>
                    <w:tr2bl w:val="nil"/>
                  </w:tcBorders>
                  <w:vAlign w:val="center"/>
                </w:tcPr>
                <w:p>
                  <w:pPr>
                    <w:pStyle w:val="71"/>
                    <w:jc w:val="cente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t>监测项目</w:t>
                  </w:r>
                </w:p>
              </w:tc>
              <w:tc>
                <w:tcPr>
                  <w:tcW w:w="1562" w:type="pct"/>
                  <w:gridSpan w:val="3"/>
                  <w:tcBorders>
                    <w:tl2br w:val="nil"/>
                    <w:tr2bl w:val="nil"/>
                  </w:tcBorders>
                  <w:vAlign w:val="center"/>
                </w:tcPr>
                <w:p>
                  <w:pPr>
                    <w:pStyle w:val="71"/>
                    <w:jc w:val="cente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t>监测结果</w:t>
                  </w:r>
                </w:p>
              </w:tc>
              <w:tc>
                <w:tcPr>
                  <w:tcW w:w="484" w:type="pct"/>
                  <w:vMerge w:val="restart"/>
                  <w:tcBorders>
                    <w:tl2br w:val="nil"/>
                    <w:tr2bl w:val="nil"/>
                  </w:tcBorders>
                  <w:vAlign w:val="center"/>
                </w:tcPr>
                <w:p>
                  <w:pPr>
                    <w:pStyle w:val="71"/>
                    <w:jc w:val="cente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pPr>
                  <w:r>
                    <w:rPr>
                      <w:rFonts w:hint="eastAsia" w:ascii="Times New Roman" w:hAnsi="Times New Roman" w:cs="Times New Roman"/>
                      <w:b w:val="0"/>
                      <w:bCs/>
                      <w:color w:val="000000" w:themeColor="text1"/>
                      <w:spacing w:val="-2"/>
                      <w:sz w:val="21"/>
                      <w:szCs w:val="21"/>
                      <w:highlight w:val="none"/>
                      <w:lang w:eastAsia="zh-CN"/>
                      <w14:textFill>
                        <w14:solidFill>
                          <w14:schemeClr w14:val="tx1"/>
                        </w14:solidFill>
                      </w14:textFill>
                    </w:rPr>
                    <w:t>平均值</w:t>
                  </w:r>
                </w:p>
              </w:tc>
              <w:tc>
                <w:tcPr>
                  <w:tcW w:w="451" w:type="pct"/>
                  <w:vMerge w:val="restart"/>
                  <w:tcBorders>
                    <w:tl2br w:val="nil"/>
                    <w:tr2bl w:val="nil"/>
                  </w:tcBorders>
                  <w:vAlign w:val="center"/>
                </w:tcPr>
                <w:p>
                  <w:pPr>
                    <w:pStyle w:val="71"/>
                    <w:jc w:val="cente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pPr>
                  <w:r>
                    <w:rPr>
                      <w:rFonts w:hint="default" w:ascii="Times New Roman" w:hAnsi="Times New Roman" w:cs="Times New Roman"/>
                      <w:b w:val="0"/>
                      <w:bCs/>
                      <w:color w:val="000000" w:themeColor="text1"/>
                      <w:spacing w:val="-2"/>
                      <w:sz w:val="21"/>
                      <w:szCs w:val="21"/>
                      <w:highlight w:val="none"/>
                      <w:lang w:eastAsia="zh-CN"/>
                      <w14:textFill>
                        <w14:solidFill>
                          <w14:schemeClr w14:val="tx1"/>
                        </w14:solidFill>
                      </w14:textFill>
                    </w:rPr>
                    <w:t>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562"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370" w:type="pct"/>
                  <w:gridSpan w:val="2"/>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23" w:type="pct"/>
                  <w:tcBorders>
                    <w:tl2br w:val="nil"/>
                    <w:tr2bl w:val="nil"/>
                  </w:tcBorders>
                  <w:vAlign w:val="center"/>
                </w:tcPr>
                <w:p>
                  <w:pPr>
                    <w:pStyle w:val="71"/>
                    <w:jc w:val="center"/>
                    <w:rPr>
                      <w:rFonts w:hint="default" w:ascii="Times New Roman" w:hAnsi="Times New Roman"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w w:val="99"/>
                      <w:sz w:val="21"/>
                      <w:szCs w:val="21"/>
                      <w:highlight w:val="none"/>
                      <w:lang w:eastAsia="zh-CN"/>
                      <w14:textFill>
                        <w14:solidFill>
                          <w14:schemeClr w14:val="tx1"/>
                        </w14:solidFill>
                      </w14:textFill>
                    </w:rPr>
                    <w:t>①</w:t>
                  </w:r>
                </w:p>
              </w:tc>
              <w:tc>
                <w:tcPr>
                  <w:tcW w:w="554" w:type="pct"/>
                  <w:tcBorders>
                    <w:tl2br w:val="nil"/>
                    <w:tr2bl w:val="nil"/>
                  </w:tcBorders>
                  <w:vAlign w:val="center"/>
                </w:tcPr>
                <w:p>
                  <w:pPr>
                    <w:pStyle w:val="71"/>
                    <w:jc w:val="center"/>
                    <w:rPr>
                      <w:rFonts w:hint="default" w:ascii="Times New Roman" w:hAnsi="Times New Roman"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w w:val="99"/>
                      <w:sz w:val="21"/>
                      <w:szCs w:val="21"/>
                      <w:highlight w:val="none"/>
                      <w:lang w:eastAsia="zh-CN"/>
                      <w14:textFill>
                        <w14:solidFill>
                          <w14:schemeClr w14:val="tx1"/>
                        </w14:solidFill>
                      </w14:textFill>
                    </w:rPr>
                    <w:t>②</w:t>
                  </w:r>
                </w:p>
              </w:tc>
              <w:tc>
                <w:tcPr>
                  <w:tcW w:w="484" w:type="pct"/>
                  <w:tcBorders>
                    <w:tl2br w:val="nil"/>
                    <w:tr2bl w:val="nil"/>
                  </w:tcBorders>
                  <w:vAlign w:val="center"/>
                </w:tcPr>
                <w:p>
                  <w:pPr>
                    <w:pStyle w:val="71"/>
                    <w:jc w:val="center"/>
                    <w:rPr>
                      <w:rFonts w:hint="default" w:ascii="Times New Roman" w:hAnsi="Times New Roman"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w w:val="99"/>
                      <w:sz w:val="21"/>
                      <w:szCs w:val="21"/>
                      <w:highlight w:val="none"/>
                      <w:lang w:eastAsia="zh-CN"/>
                      <w14:textFill>
                        <w14:solidFill>
                          <w14:schemeClr w14:val="tx1"/>
                        </w14:solidFill>
                      </w14:textFill>
                    </w:rPr>
                    <w:t>③</w:t>
                  </w:r>
                </w:p>
              </w:tc>
              <w:tc>
                <w:tcPr>
                  <w:tcW w:w="484" w:type="pct"/>
                  <w:vMerge w:val="continue"/>
                  <w:tcBorders>
                    <w:tl2br w:val="nil"/>
                    <w:tr2bl w:val="nil"/>
                  </w:tcBorders>
                  <w:vAlign w:val="center"/>
                </w:tcPr>
                <w:p>
                  <w:pPr>
                    <w:pStyle w:val="71"/>
                    <w:jc w:val="center"/>
                    <w:rPr>
                      <w:rFonts w:hint="default" w:ascii="Times New Roman" w:hAnsi="Times New Roman" w:cs="Times New Roman"/>
                      <w:bCs/>
                      <w:color w:val="000000" w:themeColor="text1"/>
                      <w:w w:val="99"/>
                      <w:sz w:val="21"/>
                      <w:szCs w:val="21"/>
                      <w:highlight w:val="none"/>
                      <w:lang w:eastAsia="zh-CN"/>
                      <w14:textFill>
                        <w14:solidFill>
                          <w14:schemeClr w14:val="tx1"/>
                        </w14:solidFill>
                      </w14:textFill>
                    </w:rPr>
                  </w:pPr>
                </w:p>
              </w:tc>
              <w:tc>
                <w:tcPr>
                  <w:tcW w:w="451"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562" w:type="pct"/>
                  <w:vMerge w:val="restart"/>
                  <w:tcBorders>
                    <w:tl2br w:val="nil"/>
                    <w:tr2bl w:val="nil"/>
                  </w:tcBorders>
                  <w:vAlign w:val="center"/>
                </w:tcPr>
                <w:p>
                  <w:pPr>
                    <w:pStyle w:val="71"/>
                    <w:jc w:val="center"/>
                    <w:rPr>
                      <w:rFonts w:hint="default" w:ascii="Times New Roman" w:hAnsi="Times New Roman" w:cs="Times New Roman"/>
                      <w:color w:val="000000" w:themeColor="text1"/>
                      <w:kern w:val="2"/>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eastAsia="zh-CN"/>
                      <w14:textFill>
                        <w14:solidFill>
                          <w14:schemeClr w14:val="tx1"/>
                        </w14:solidFill>
                      </w14:textFill>
                    </w:rPr>
                    <w:t>废气排放口（</w:t>
                  </w: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DA001</w:t>
                  </w:r>
                  <w:r>
                    <w:rPr>
                      <w:rFonts w:hint="eastAsia" w:ascii="Times New Roman" w:hAnsi="Times New Roman" w:cs="Times New Roman"/>
                      <w:color w:val="000000" w:themeColor="text1"/>
                      <w:kern w:val="2"/>
                      <w:sz w:val="21"/>
                      <w:szCs w:val="21"/>
                      <w:highlight w:val="none"/>
                      <w:lang w:eastAsia="zh-CN"/>
                      <w14:textFill>
                        <w14:solidFill>
                          <w14:schemeClr w14:val="tx1"/>
                        </w14:solidFill>
                      </w14:textFill>
                    </w:rPr>
                    <w:t>）</w:t>
                  </w:r>
                </w:p>
              </w:tc>
              <w:tc>
                <w:tcPr>
                  <w:tcW w:w="568" w:type="pct"/>
                  <w:vMerge w:val="restart"/>
                  <w:tcBorders>
                    <w:tl2br w:val="nil"/>
                    <w:tr2bl w:val="nil"/>
                  </w:tcBorders>
                  <w:vAlign w:val="center"/>
                </w:tcPr>
                <w:p>
                  <w:pPr>
                    <w:pStyle w:val="71"/>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2024.01.13</w:t>
                  </w:r>
                </w:p>
              </w:tc>
              <w:tc>
                <w:tcPr>
                  <w:tcW w:w="446" w:type="pct"/>
                  <w:vMerge w:val="restart"/>
                  <w:tcBorders>
                    <w:tl2br w:val="nil"/>
                    <w:tr2bl w:val="nil"/>
                  </w:tcBorders>
                  <w:vAlign w:val="center"/>
                </w:tcPr>
                <w:p>
                  <w:pPr>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颗粒物</w:t>
                  </w:r>
                </w:p>
              </w:tc>
              <w:tc>
                <w:tcPr>
                  <w:tcW w:w="924" w:type="pct"/>
                  <w:tcBorders>
                    <w:tl2br w:val="nil"/>
                    <w:tr2bl w:val="nil"/>
                  </w:tcBorders>
                  <w:vAlign w:val="center"/>
                </w:tcPr>
                <w:p>
                  <w:pPr>
                    <w:pStyle w:val="71"/>
                    <w:jc w:val="cente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highlight w:val="none"/>
                      <w:lang w:eastAsia="zh-CN"/>
                      <w14:textFill>
                        <w14:solidFill>
                          <w14:schemeClr w14:val="tx1"/>
                        </w14:solidFill>
                      </w14:textFill>
                    </w:rPr>
                    <w:t>实测浓度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mg/m</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3</w:t>
                  </w:r>
                </w:p>
              </w:tc>
              <w:tc>
                <w:tcPr>
                  <w:tcW w:w="52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8.7</w:t>
                  </w:r>
                </w:p>
              </w:tc>
              <w:tc>
                <w:tcPr>
                  <w:tcW w:w="55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9.2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10.5</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9.5</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562"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924" w:type="pct"/>
                  <w:tcBorders>
                    <w:tl2br w:val="nil"/>
                    <w:tr2bl w:val="nil"/>
                  </w:tcBorders>
                  <w:vAlign w:val="center"/>
                </w:tcPr>
                <w:p>
                  <w:pPr>
                    <w:pStyle w:val="71"/>
                    <w:jc w:val="cente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t>排放速率</w:t>
                  </w:r>
                  <w:r>
                    <w:rPr>
                      <w:rFonts w:hint="default" w:ascii="Times New Roman" w:hAnsi="Times New Roman" w:cs="Times New Roman"/>
                      <w:color w:val="000000" w:themeColor="text1"/>
                      <w:sz w:val="21"/>
                      <w:szCs w:val="21"/>
                      <w:highlight w:val="none"/>
                      <w:lang w:eastAsia="zh-CN"/>
                      <w14:textFill>
                        <w14:solidFill>
                          <w14:schemeClr w14:val="tx1"/>
                        </w14:solidFill>
                      </w14:textFill>
                    </w:rPr>
                    <w:t>kg/h</w:t>
                  </w:r>
                </w:p>
              </w:tc>
              <w:tc>
                <w:tcPr>
                  <w:tcW w:w="52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9.9</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3</w:t>
                  </w:r>
                </w:p>
              </w:tc>
              <w:tc>
                <w:tcPr>
                  <w:tcW w:w="55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1.4</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1.1</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62"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1370" w:type="pct"/>
                  <w:gridSpan w:val="2"/>
                  <w:tcBorders>
                    <w:tl2br w:val="nil"/>
                    <w:tr2bl w:val="nil"/>
                  </w:tcBorders>
                  <w:vAlign w:val="center"/>
                </w:tcPr>
                <w:p>
                  <w:pPr>
                    <w:pStyle w:val="71"/>
                    <w:jc w:val="cente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排气筒高度（</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w:t>
                  </w:r>
                </w:p>
              </w:tc>
              <w:tc>
                <w:tcPr>
                  <w:tcW w:w="2047" w:type="pct"/>
                  <w:gridSpan w:val="4"/>
                  <w:tcBorders>
                    <w:tl2br w:val="nil"/>
                    <w:tr2bl w:val="nil"/>
                  </w:tcBorders>
                  <w:vAlign w:val="center"/>
                </w:tcPr>
                <w:p>
                  <w:pPr>
                    <w:jc w:val="center"/>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562"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1370" w:type="pct"/>
                  <w:gridSpan w:val="2"/>
                  <w:tcBorders>
                    <w:tl2br w:val="nil"/>
                    <w:tr2bl w:val="nil"/>
                  </w:tcBorders>
                  <w:vAlign w:val="center"/>
                </w:tcPr>
                <w:p>
                  <w:pPr>
                    <w:pStyle w:val="71"/>
                    <w:jc w:val="cente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标况干废气量（</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pacing w:val="20"/>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/h</w:t>
                  </w: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w:t>
                  </w:r>
                </w:p>
              </w:tc>
              <w:tc>
                <w:tcPr>
                  <w:tcW w:w="523" w:type="pct"/>
                  <w:tcBorders>
                    <w:tl2br w:val="nil"/>
                    <w:tr2bl w:val="nil"/>
                  </w:tcBorders>
                  <w:vAlign w:val="center"/>
                </w:tcPr>
                <w:p>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137</w:t>
                  </w:r>
                </w:p>
              </w:tc>
              <w:tc>
                <w:tcPr>
                  <w:tcW w:w="55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120</w:t>
                  </w:r>
                </w:p>
              </w:tc>
              <w:tc>
                <w:tcPr>
                  <w:tcW w:w="48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355</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1204</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562" w:type="pct"/>
                  <w:vMerge w:val="continue"/>
                  <w:tcBorders>
                    <w:tl2br w:val="nil"/>
                    <w:tr2bl w:val="nil"/>
                  </w:tcBorders>
                  <w:vAlign w:val="center"/>
                </w:tcPr>
                <w:p>
                  <w:pPr>
                    <w:ind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2024.01.14</w:t>
                  </w:r>
                </w:p>
              </w:tc>
              <w:tc>
                <w:tcPr>
                  <w:tcW w:w="446" w:type="pct"/>
                  <w:vMerge w:val="restart"/>
                  <w:tcBorders>
                    <w:tl2br w:val="nil"/>
                    <w:tr2bl w:val="nil"/>
                  </w:tcBorders>
                  <w:vAlign w:val="center"/>
                </w:tcPr>
                <w:p>
                  <w:pPr>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颗粒物</w:t>
                  </w:r>
                </w:p>
              </w:tc>
              <w:tc>
                <w:tcPr>
                  <w:tcW w:w="924" w:type="pct"/>
                  <w:tcBorders>
                    <w:tl2br w:val="nil"/>
                    <w:tr2bl w:val="nil"/>
                  </w:tcBorders>
                  <w:vAlign w:val="center"/>
                </w:tcPr>
                <w:p>
                  <w:pPr>
                    <w:pStyle w:val="71"/>
                    <w:jc w:val="cente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1"/>
                      <w:sz w:val="21"/>
                      <w:szCs w:val="21"/>
                      <w:highlight w:val="none"/>
                      <w:lang w:eastAsia="zh-CN"/>
                      <w14:textFill>
                        <w14:solidFill>
                          <w14:schemeClr w14:val="tx1"/>
                        </w14:solidFill>
                      </w14:textFill>
                    </w:rPr>
                    <w:t>实测浓度</w:t>
                  </w:r>
                  <w:r>
                    <w:rPr>
                      <w:rFonts w:hint="default" w:ascii="Times New Roman" w:hAnsi="Times New Roman" w:cs="Times New Roman"/>
                      <w:color w:val="000000" w:themeColor="text1"/>
                      <w:sz w:val="21"/>
                      <w:szCs w:val="21"/>
                      <w:highlight w:val="none"/>
                      <w:lang w:eastAsia="zh-CN"/>
                      <w14:textFill>
                        <w14:solidFill>
                          <w14:schemeClr w14:val="tx1"/>
                        </w14:solidFill>
                      </w14:textFill>
                    </w:rPr>
                    <w:t>mg/m</w:t>
                  </w:r>
                  <w:r>
                    <w:rPr>
                      <w:rFonts w:hint="default" w:ascii="Times New Roman" w:hAnsi="Times New Roman" w:cs="Times New Roman"/>
                      <w:color w:val="000000" w:themeColor="text1"/>
                      <w:sz w:val="21"/>
                      <w:szCs w:val="21"/>
                      <w:highlight w:val="none"/>
                      <w:vertAlign w:val="superscript"/>
                      <w:lang w:eastAsia="zh-CN"/>
                      <w14:textFill>
                        <w14:solidFill>
                          <w14:schemeClr w14:val="tx1"/>
                        </w14:solidFill>
                      </w14:textFill>
                    </w:rPr>
                    <w:t>3</w:t>
                  </w:r>
                </w:p>
              </w:tc>
              <w:tc>
                <w:tcPr>
                  <w:tcW w:w="52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10.7</w:t>
                  </w:r>
                </w:p>
              </w:tc>
              <w:tc>
                <w:tcPr>
                  <w:tcW w:w="55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11.4</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11.1</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562"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924" w:type="pct"/>
                  <w:tcBorders>
                    <w:tl2br w:val="nil"/>
                    <w:tr2bl w:val="nil"/>
                  </w:tcBorders>
                  <w:vAlign w:val="center"/>
                </w:tcPr>
                <w:p>
                  <w:pPr>
                    <w:pStyle w:val="71"/>
                    <w:jc w:val="cente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t>排放速率</w:t>
                  </w:r>
                  <w:r>
                    <w:rPr>
                      <w:rFonts w:hint="default" w:ascii="Times New Roman" w:hAnsi="Times New Roman" w:cs="Times New Roman"/>
                      <w:color w:val="000000" w:themeColor="text1"/>
                      <w:sz w:val="21"/>
                      <w:szCs w:val="21"/>
                      <w:highlight w:val="none"/>
                      <w:lang w:eastAsia="zh-CN"/>
                      <w14:textFill>
                        <w14:solidFill>
                          <w14:schemeClr w14:val="tx1"/>
                        </w14:solidFill>
                      </w14:textFill>
                    </w:rPr>
                    <w:t>kg/h</w:t>
                  </w:r>
                </w:p>
              </w:tc>
              <w:tc>
                <w:tcPr>
                  <w:tcW w:w="52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1.4</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55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1.3</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1.6</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iCs/>
                      <w:color w:val="000000" w:themeColor="text1"/>
                      <w:spacing w:val="0"/>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iCs/>
                      <w:color w:val="000000" w:themeColor="text1"/>
                      <w:spacing w:val="0"/>
                      <w:kern w:val="0"/>
                      <w:sz w:val="21"/>
                      <w:szCs w:val="21"/>
                      <w:highlight w:val="none"/>
                      <w:vertAlign w:val="superscript"/>
                      <w:lang w:val="en-US" w:eastAsia="zh-CN"/>
                      <w14:textFill>
                        <w14:solidFill>
                          <w14:schemeClr w14:val="tx1"/>
                        </w14:solidFill>
                      </w14:textFill>
                    </w:rPr>
                    <w:t>-2</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562"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52" w:type="dxa"/>
                  <w:gridSpan w:val="2"/>
                  <w:tcBorders>
                    <w:tl2br w:val="nil"/>
                    <w:tr2bl w:val="nil"/>
                  </w:tcBorders>
                  <w:vAlign w:val="center"/>
                </w:tcPr>
                <w:p>
                  <w:pPr>
                    <w:pStyle w:val="71"/>
                    <w:jc w:val="cente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排气筒高度（</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w:t>
                  </w:r>
                </w:p>
              </w:tc>
              <w:tc>
                <w:tcPr>
                  <w:tcW w:w="2047" w:type="pct"/>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w:t>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562"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8" w:type="pct"/>
                  <w:vMerge w:val="continue"/>
                  <w:tcBorders>
                    <w:tl2br w:val="nil"/>
                    <w:tr2bl w:val="nil"/>
                  </w:tcBorders>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52" w:type="dxa"/>
                  <w:gridSpan w:val="2"/>
                  <w:tcBorders>
                    <w:tl2br w:val="nil"/>
                    <w:tr2bl w:val="nil"/>
                  </w:tcBorders>
                  <w:vAlign w:val="center"/>
                </w:tcPr>
                <w:p>
                  <w:pPr>
                    <w:pStyle w:val="71"/>
                    <w:jc w:val="center"/>
                    <w:rPr>
                      <w:rFonts w:hint="default" w:ascii="Times New Roman" w:hAnsi="Times New Roman" w:cs="Times New Roman"/>
                      <w:color w:val="000000" w:themeColor="text1"/>
                      <w:spacing w:val="20"/>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标况干废气量（</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pacing w:val="20"/>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20"/>
                      <w:sz w:val="21"/>
                      <w:szCs w:val="21"/>
                      <w:highlight w:val="none"/>
                      <w:lang w:val="en-US" w:eastAsia="zh-CN"/>
                      <w14:textFill>
                        <w14:solidFill>
                          <w14:schemeClr w14:val="tx1"/>
                        </w14:solidFill>
                      </w14:textFill>
                    </w:rPr>
                    <w:t>/h</w:t>
                  </w:r>
                  <w:r>
                    <w:rPr>
                      <w:rFonts w:hint="eastAsia" w:ascii="Times New Roman" w:hAnsi="Times New Roman" w:cs="Times New Roman"/>
                      <w:color w:val="000000" w:themeColor="text1"/>
                      <w:spacing w:val="20"/>
                      <w:sz w:val="21"/>
                      <w:szCs w:val="21"/>
                      <w:highlight w:val="none"/>
                      <w:lang w:eastAsia="zh-CN"/>
                      <w14:textFill>
                        <w14:solidFill>
                          <w14:schemeClr w14:val="tx1"/>
                        </w14:solidFill>
                      </w14:textFill>
                    </w:rPr>
                    <w:t>）</w:t>
                  </w:r>
                </w:p>
              </w:tc>
              <w:tc>
                <w:tcPr>
                  <w:tcW w:w="52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359</w:t>
                  </w:r>
                </w:p>
              </w:tc>
              <w:tc>
                <w:tcPr>
                  <w:tcW w:w="55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131</w:t>
                  </w:r>
                </w:p>
              </w:tc>
              <w:tc>
                <w:tcPr>
                  <w:tcW w:w="484"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等线" w:cs="Times New Roman"/>
                      <w:i w:val="0"/>
                      <w:iCs w:val="0"/>
                      <w:color w:val="000000" w:themeColor="text1"/>
                      <w:kern w:val="0"/>
                      <w:sz w:val="21"/>
                      <w:szCs w:val="21"/>
                      <w:highlight w:val="none"/>
                      <w:u w:val="none"/>
                      <w:lang w:val="en-US" w:eastAsia="zh-CN" w:bidi="ar"/>
                      <w14:textFill>
                        <w14:solidFill>
                          <w14:schemeClr w14:val="tx1"/>
                        </w14:solidFill>
                      </w14:textFill>
                    </w:rPr>
                    <w:t>468</w:t>
                  </w:r>
                </w:p>
              </w:tc>
              <w:tc>
                <w:tcPr>
                  <w:tcW w:w="484"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8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average(D11:F11)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1319</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45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验收监测期间，排气筒中各污染物满足</w:t>
            </w:r>
            <w:r>
              <w:rPr>
                <w:rFonts w:hint="eastAsia"/>
                <w:color w:val="000000" w:themeColor="text1"/>
                <w:sz w:val="24"/>
                <w:szCs w:val="24"/>
                <w:highlight w:val="none"/>
                <w14:textFill>
                  <w14:solidFill>
                    <w14:schemeClr w14:val="tx1"/>
                  </w14:solidFill>
                </w14:textFill>
              </w:rPr>
              <w:t>《大气污染物综合排放标准》（GB16297-1996）</w:t>
            </w:r>
            <w:r>
              <w:rPr>
                <w:color w:val="000000" w:themeColor="text1"/>
                <w:sz w:val="24"/>
                <w:szCs w:val="24"/>
                <w:highlight w:val="none"/>
                <w14:textFill>
                  <w14:solidFill>
                    <w14:schemeClr w14:val="tx1"/>
                  </w14:solidFill>
                </w14:textFill>
              </w:rPr>
              <w:t>排放标准限值要求。</w:t>
            </w:r>
          </w:p>
          <w:p>
            <w:pPr>
              <w:jc w:val="center"/>
              <w:rPr>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2</w:t>
            </w:r>
            <w:r>
              <w:rPr>
                <w:b/>
                <w:color w:val="000000" w:themeColor="text1"/>
                <w:szCs w:val="21"/>
                <w:highlight w:val="none"/>
                <w14:textFill>
                  <w14:solidFill>
                    <w14:schemeClr w14:val="tx1"/>
                  </w14:solidFill>
                </w14:textFill>
              </w:rPr>
              <w:t xml:space="preserve"> 有组织废气</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DA002</w:t>
            </w:r>
            <w:r>
              <w:rPr>
                <w:rFonts w:hint="eastAsia"/>
                <w:b/>
                <w:color w:val="000000" w:themeColor="text1"/>
                <w:szCs w:val="21"/>
                <w:highlight w:val="none"/>
                <w:lang w:eastAsia="zh-CN"/>
                <w14:textFill>
                  <w14:solidFill>
                    <w14:schemeClr w14:val="tx1"/>
                  </w14:solidFill>
                </w14:textFill>
              </w:rPr>
              <w:t>）</w:t>
            </w:r>
            <w:r>
              <w:rPr>
                <w:b/>
                <w:color w:val="000000" w:themeColor="text1"/>
                <w:szCs w:val="21"/>
                <w:highlight w:val="none"/>
                <w14:textFill>
                  <w14:solidFill>
                    <w14:schemeClr w14:val="tx1"/>
                  </w14:solidFill>
                </w14:textFill>
              </w:rPr>
              <w:t>监测结果一览表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1861"/>
              <w:gridCol w:w="1865"/>
              <w:gridCol w:w="1809"/>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样 品</w:t>
                  </w:r>
                </w:p>
              </w:tc>
              <w:tc>
                <w:tcPr>
                  <w:tcW w:w="2056" w:type="pct"/>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监测项目及分析结果</w:t>
                  </w:r>
                </w:p>
              </w:tc>
              <w:tc>
                <w:tcPr>
                  <w:tcW w:w="1997" w:type="pct"/>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参 数 测 定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945"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编 号</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2024.01.13</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2024.01.14</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2024.01.13</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45"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p>
              </w:tc>
              <w:tc>
                <w:tcPr>
                  <w:tcW w:w="1027"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排放浓度（</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1028"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排放浓度</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排放口</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5"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p>
              </w:tc>
              <w:tc>
                <w:tcPr>
                  <w:tcW w:w="1027"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p>
              </w:tc>
              <w:tc>
                <w:tcPr>
                  <w:tcW w:w="1028"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烟气流量</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烟气流量</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/h</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0.9</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4657</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0.8</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4836</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0.8</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0.7</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4536</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0.9</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0.9</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4708</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0.8</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4652</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平均</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值</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instrText xml:space="preserve"> = average(B9:B13) \* MERGEFORMAT </w:instrTex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0.8</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end"/>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average(C9:C13)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0.8</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instrText xml:space="preserve"> = average(D9:D13) \* MERGEFORMAT </w:instrTex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467</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fldChar w:fldCharType="end"/>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instrText xml:space="preserve"> = average(E9:E13) \* MERGEFORMAT </w:instrTex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4622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量</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kg/h</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102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102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排气筒高度</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998"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bl>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验收监测期间，排气筒中各污染物满足</w:t>
            </w:r>
            <w:r>
              <w:rPr>
                <w:rFonts w:hint="eastAsia"/>
                <w:color w:val="000000" w:themeColor="text1"/>
                <w:sz w:val="24"/>
                <w:szCs w:val="24"/>
                <w:highlight w:val="none"/>
                <w14:textFill>
                  <w14:solidFill>
                    <w14:schemeClr w14:val="tx1"/>
                  </w14:solidFill>
                </w14:textFill>
              </w:rPr>
              <w:t>《饮食业油烟排放标准（试行）》（GB18483-2001）</w:t>
            </w:r>
            <w:r>
              <w:rPr>
                <w:color w:val="000000" w:themeColor="text1"/>
                <w:sz w:val="24"/>
                <w:szCs w:val="24"/>
                <w:highlight w:val="none"/>
                <w14:textFill>
                  <w14:solidFill>
                    <w14:schemeClr w14:val="tx1"/>
                  </w14:solidFill>
                </w14:textFill>
              </w:rPr>
              <w:t>排放标准限值要求。</w:t>
            </w:r>
          </w:p>
          <w:p>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7.2.2 无组织废气排放监测结果及分析</w:t>
            </w:r>
          </w:p>
          <w:p>
            <w:pPr>
              <w:adjustRightInd w:val="0"/>
              <w:snapToGrid w:val="0"/>
              <w:spacing w:line="360" w:lineRule="auto"/>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项目无组织排放废气监测结果见下表</w:t>
            </w:r>
            <w:r>
              <w:rPr>
                <w:rFonts w:hint="eastAsia"/>
                <w:color w:val="000000" w:themeColor="text1"/>
                <w:sz w:val="24"/>
                <w:szCs w:val="24"/>
                <w:highlight w:val="none"/>
                <w:lang w:eastAsia="zh-CN"/>
                <w14:textFill>
                  <w14:solidFill>
                    <w14:schemeClr w14:val="tx1"/>
                  </w14:solidFill>
                </w14:textFill>
              </w:rPr>
              <w:t>。</w:t>
            </w:r>
          </w:p>
          <w:p>
            <w:pPr>
              <w:jc w:val="cente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ab/>
            </w: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3</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无</w:t>
            </w:r>
            <w:r>
              <w:rPr>
                <w:b/>
                <w:color w:val="000000" w:themeColor="text1"/>
                <w:szCs w:val="21"/>
                <w:highlight w:val="none"/>
                <w14:textFill>
                  <w14:solidFill>
                    <w14:schemeClr w14:val="tx1"/>
                  </w14:solidFill>
                </w14:textFill>
              </w:rPr>
              <w:t>组织废气监测结果一览表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809"/>
              <w:gridCol w:w="1060"/>
              <w:gridCol w:w="971"/>
              <w:gridCol w:w="975"/>
              <w:gridCol w:w="957"/>
              <w:gridCol w:w="937"/>
              <w:gridCol w:w="955"/>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801" w:type="pct"/>
                  <w:vMerge w:val="restart"/>
                  <w:vAlign w:val="center"/>
                  <mc:AlternateContent>
                    <mc:Choice Requires="wpsCustomData">
                      <wpsCustomData:diagonals>
                        <wpsCustomData:diagonal from="10000" to="30000">
                          <wpsCustomData:border w:val="single" w:color="000000" w:sz="4" w:space="0"/>
                        </wpsCustomData:diagonal>
                        <wpsCustomData:diagonal from="10000" to="24300">
                          <wpsCustomData:border w:val="single" w:color="000000" w:sz="4" w:space="0"/>
                        </wpsCustomData:diagonal>
                      </wpsCustomData:diagonals>
                    </mc:Choice>
                  </mc:AlternateContent>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both"/>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pStyle w:val="2"/>
                    <w:rPr>
                      <w:rFonts w:hint="default"/>
                      <w:color w:val="000000" w:themeColor="text1"/>
                      <w:highlight w:val="none"/>
                      <w14:textFill>
                        <w14:solidFill>
                          <w14:schemeClr w14:val="tx1"/>
                        </w14:solidFill>
                      </w14:textFill>
                    </w:rPr>
                  </w:pP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pStyle w:val="2"/>
                    <w:rPr>
                      <w:rFonts w:hint="default"/>
                      <w:color w:val="000000" w:themeColor="text1"/>
                      <w:highlight w:val="none"/>
                      <w14:textFill>
                        <w14:solidFill>
                          <w14:schemeClr w14:val="tx1"/>
                        </w14:solidFill>
                      </w14:textFill>
                    </w:rPr>
                  </w:pP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mc:AlternateContent>
                      <mc:Choice Requires="wpsCustomData">
                        <wpsCustomData:diagonalParaType/>
                      </mc:Choice>
                    </mc:AlternateConten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监测位置</w:t>
                  </w: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w:t>
                  </w: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项目</w:t>
                  </w: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mc:AlternateContent>
                      <mc:Choice Requires="wpsCustomData">
                        <wpsCustomData:diagonalParaType/>
                      </mc:Choice>
                    </mc:AlternateConten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时间</w:t>
                  </w:r>
                </w:p>
              </w:tc>
              <w:tc>
                <w:tcPr>
                  <w:tcW w:w="4198" w:type="pct"/>
                  <w:gridSpan w:val="8"/>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监</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测 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p>
              </w:tc>
              <w:tc>
                <w:tcPr>
                  <w:tcW w:w="2106" w:type="pct"/>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2024.01.13</w:t>
                  </w:r>
                </w:p>
              </w:tc>
              <w:tc>
                <w:tcPr>
                  <w:tcW w:w="2091" w:type="pct"/>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Merge w:val="continue"/>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p>
              </w:tc>
              <w:tc>
                <w:tcPr>
                  <w:tcW w:w="2106" w:type="pct"/>
                  <w:gridSpan w:val="4"/>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91" w:type="pct"/>
                  <w:gridSpan w:val="4"/>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801" w:type="pct"/>
                  <w:vMerge w:val="continue"/>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p>
              </w:tc>
              <w:tc>
                <w:tcPr>
                  <w:tcW w:w="447"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第一次</w:t>
                  </w:r>
                </w:p>
              </w:tc>
              <w:tc>
                <w:tcPr>
                  <w:tcW w:w="585"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第二次</w:t>
                  </w:r>
                </w:p>
              </w:tc>
              <w:tc>
                <w:tcPr>
                  <w:tcW w:w="536"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第三次</w:t>
                  </w:r>
                </w:p>
              </w:tc>
              <w:tc>
                <w:tcPr>
                  <w:tcW w:w="538"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pacing w:val="-11"/>
                      <w:sz w:val="21"/>
                      <w:szCs w:val="21"/>
                      <w:highlight w:val="none"/>
                      <w:lang w:eastAsia="zh-CN"/>
                      <w14:textFill>
                        <w14:solidFill>
                          <w14:schemeClr w14:val="tx1"/>
                        </w14:solidFill>
                      </w14:textFill>
                    </w:rPr>
                    <w:t>第四次</w:t>
                  </w:r>
                </w:p>
              </w:tc>
              <w:tc>
                <w:tcPr>
                  <w:tcW w:w="528"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第一次</w:t>
                  </w:r>
                </w:p>
              </w:tc>
              <w:tc>
                <w:tcPr>
                  <w:tcW w:w="517"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第二次</w:t>
                  </w:r>
                </w:p>
              </w:tc>
              <w:tc>
                <w:tcPr>
                  <w:tcW w:w="527"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11"/>
                      <w:sz w:val="21"/>
                      <w:szCs w:val="21"/>
                      <w:highlight w:val="none"/>
                      <w14:textFill>
                        <w14:solidFill>
                          <w14:schemeClr w14:val="tx1"/>
                        </w14:solidFill>
                      </w14:textFill>
                    </w:rPr>
                    <w:t>第三次</w:t>
                  </w:r>
                </w:p>
              </w:tc>
              <w:tc>
                <w:tcPr>
                  <w:tcW w:w="518" w:type="pct"/>
                  <w:textDirection w:val="tbLrV"/>
                  <w:vAlign w:val="center"/>
                </w:tcPr>
                <w:p>
                  <w:pPr>
                    <w:keepNext w:val="0"/>
                    <w:keepLines w:val="0"/>
                    <w:pageBreakBefore w:val="0"/>
                    <w:widowControl/>
                    <w:kinsoku/>
                    <w:wordWrap/>
                    <w:overflowPunct/>
                    <w:topLinePunct w:val="0"/>
                    <w:bidi w:val="0"/>
                    <w:adjustRightInd w:val="0"/>
                    <w:snapToGrid w:val="0"/>
                    <w:spacing w:after="0" w:line="360" w:lineRule="auto"/>
                    <w:ind w:left="113" w:leftChars="0" w:right="113"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pacing w:val="-11"/>
                      <w:sz w:val="21"/>
                      <w:szCs w:val="21"/>
                      <w:highlight w:val="none"/>
                      <w:lang w:eastAsia="zh-CN"/>
                      <w14:textFill>
                        <w14:solidFill>
                          <w14:schemeClr w14:val="tx1"/>
                        </w14:solidFill>
                      </w14:textFill>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无组织废气</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上风向参照点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0.116 </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0.118 </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0.117 </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0.114 </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0.120 </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0.117 </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0.123 </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无组织废气</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下风向监控点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0.190 </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0.183 </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0.186 </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0.182 </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0.192 </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0.197 </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0.199 </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无组织废气</w:t>
                  </w:r>
                  <w:r>
                    <w:rPr>
                      <w:rFonts w:hint="default" w:ascii="Times New Roman" w:hAnsi="Times New Roman" w:eastAsia="宋体" w:cs="Times New Roman"/>
                      <w:color w:val="000000" w:themeColor="text1"/>
                      <w:sz w:val="21"/>
                      <w:szCs w:val="21"/>
                      <w:highlight w:val="none"/>
                      <w14:textFill>
                        <w14:solidFill>
                          <w14:schemeClr w14:val="tx1"/>
                        </w14:solidFill>
                      </w14:textFill>
                    </w:rPr>
                    <w:t>下风向监控点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0.203 </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0.205 </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0.206 </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0.213 </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0.211 </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0.218 </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0.214 </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无组织废气</w:t>
                  </w:r>
                  <w:r>
                    <w:rPr>
                      <w:rFonts w:hint="default" w:ascii="Times New Roman" w:hAnsi="Times New Roman" w:eastAsia="宋体" w:cs="Times New Roman"/>
                      <w:color w:val="000000" w:themeColor="text1"/>
                      <w:sz w:val="21"/>
                      <w:szCs w:val="21"/>
                      <w:highlight w:val="none"/>
                      <w14:textFill>
                        <w14:solidFill>
                          <w14:schemeClr w14:val="tx1"/>
                        </w14:solidFill>
                      </w14:textFill>
                    </w:rPr>
                    <w:t>下风向监控点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0.185 </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0.191 </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0.195 </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0.198 </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0.182 </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0.186 </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0.191 </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0.204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标准值</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达标情况</w:t>
                  </w:r>
                </w:p>
              </w:tc>
              <w:tc>
                <w:tcPr>
                  <w:tcW w:w="44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sz w:val="24"/>
                      <w:szCs w:val="24"/>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85"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36"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3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2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1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27"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518" w:type="pct"/>
                  <w:vAlign w:val="center"/>
                </w:tcPr>
                <w:p>
                  <w:pPr>
                    <w:keepNext w:val="0"/>
                    <w:keepLines w:val="0"/>
                    <w:pageBreakBefore w:val="0"/>
                    <w:widowControl/>
                    <w:kinsoku/>
                    <w:wordWrap/>
                    <w:overflowPunct/>
                    <w:topLinePunct w:val="0"/>
                    <w:bidi w:val="0"/>
                    <w:adjustRightInd w:val="0"/>
                    <w:snapToGrid w:val="0"/>
                    <w:spacing w:after="0" w:line="240" w:lineRule="auto"/>
                    <w:ind w:left="0" w:leftChars="0" w:right="0" w:rightChars="0"/>
                    <w:jc w:val="center"/>
                    <w:textAlignment w:val="auto"/>
                    <w:outlineLvl w:val="9"/>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本次验收监测结果表明，无组织废气各污染物排放浓度均满足</w:t>
            </w:r>
            <w:r>
              <w:rPr>
                <w:rFonts w:hint="eastAsia"/>
                <w:color w:val="000000" w:themeColor="text1"/>
                <w:sz w:val="24"/>
                <w:szCs w:val="24"/>
                <w:highlight w:val="none"/>
                <w:lang w:val="en-US" w:eastAsia="zh-CN"/>
                <w14:textFill>
                  <w14:solidFill>
                    <w14:schemeClr w14:val="tx1"/>
                  </w14:solidFill>
                </w14:textFill>
              </w:rPr>
              <w:t>《大气污染物综合排放标准》（GB16297-1996）</w:t>
            </w:r>
            <w:r>
              <w:rPr>
                <w:color w:val="000000" w:themeColor="text1"/>
                <w:sz w:val="24"/>
                <w:szCs w:val="24"/>
                <w:highlight w:val="none"/>
                <w14:textFill>
                  <w14:solidFill>
                    <w14:schemeClr w14:val="tx1"/>
                  </w14:solidFill>
                </w14:textFill>
              </w:rPr>
              <w:t>排放标准限值要求。</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7.2.3 噪声排放监测结果及分析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项目厂界噪声监测结果见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snapToGrid w:val="0"/>
              <w:ind w:right="844"/>
              <w:jc w:val="center"/>
              <w:rPr>
                <w:rFonts w:hint="eastAsia"/>
                <w:b/>
                <w:color w:val="000000" w:themeColor="text1"/>
                <w:sz w:val="18"/>
                <w:szCs w:val="18"/>
                <w:highlight w:val="none"/>
                <w:lang w:eastAsia="zh-CN"/>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4</w:t>
            </w:r>
            <w:r>
              <w:rPr>
                <w:b/>
                <w:color w:val="000000" w:themeColor="text1"/>
                <w:sz w:val="18"/>
                <w:szCs w:val="18"/>
                <w:highlight w:val="none"/>
                <w14:textFill>
                  <w14:solidFill>
                    <w14:schemeClr w14:val="tx1"/>
                  </w14:solidFill>
                </w14:textFill>
              </w:rPr>
              <w:t>厂界噪声监测结果一览表</w:t>
            </w:r>
            <w:r>
              <w:rPr>
                <w:rFonts w:hint="eastAsia"/>
                <w:b/>
                <w:color w:val="000000" w:themeColor="text1"/>
                <w:sz w:val="18"/>
                <w:szCs w:val="18"/>
                <w:highlight w:val="none"/>
                <w:lang w:eastAsia="zh-CN"/>
                <w14:textFill>
                  <w14:solidFill>
                    <w14:schemeClr w14:val="tx1"/>
                  </w14:solidFill>
                </w14:textFill>
              </w:rPr>
              <w:t>，单位：dB（A）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455"/>
              <w:gridCol w:w="1140"/>
              <w:gridCol w:w="1125"/>
              <w:gridCol w:w="1065"/>
              <w:gridCol w:w="1125"/>
              <w:gridCol w:w="1170"/>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测点编号</w:t>
                  </w:r>
                </w:p>
              </w:tc>
              <w:tc>
                <w:tcPr>
                  <w:tcW w:w="145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检测位置</w:t>
                  </w:r>
                </w:p>
              </w:tc>
              <w:tc>
                <w:tcPr>
                  <w:tcW w:w="445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检测结果</w:t>
                  </w:r>
                </w:p>
              </w:tc>
              <w:tc>
                <w:tcPr>
                  <w:tcW w:w="2348"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p>
              </w:tc>
              <w:tc>
                <w:tcPr>
                  <w:tcW w:w="14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p>
              </w:tc>
              <w:tc>
                <w:tcPr>
                  <w:tcW w:w="226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eastAsia" w:ascii="Times New Roman" w:hAnsi="Times New Roman" w:eastAsia="宋体"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2024.01.13</w:t>
                  </w:r>
                </w:p>
              </w:tc>
              <w:tc>
                <w:tcPr>
                  <w:tcW w:w="219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2024.01.14</w:t>
                  </w:r>
                </w:p>
              </w:tc>
              <w:tc>
                <w:tcPr>
                  <w:tcW w:w="2348"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p>
              </w:tc>
              <w:tc>
                <w:tcPr>
                  <w:tcW w:w="14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昼间</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夜间</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昼间</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夜间</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昼间</w:t>
                  </w:r>
                </w:p>
              </w:tc>
              <w:tc>
                <w:tcPr>
                  <w:tcW w:w="11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1#</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东面</w:t>
                  </w:r>
                  <w:r>
                    <w:rPr>
                      <w:rFonts w:hint="default" w:ascii="Times New Roman" w:hAnsi="Times New Roman" w:eastAsia="宋体" w:cs="Times New Roman"/>
                      <w:iCs/>
                      <w:color w:val="000000" w:themeColor="text1"/>
                      <w:sz w:val="21"/>
                      <w:szCs w:val="21"/>
                      <w:highlight w:val="none"/>
                      <w:lang w:val="en-US" w:eastAsia="zh-CN"/>
                      <w14:textFill>
                        <w14:solidFill>
                          <w14:schemeClr w14:val="tx1"/>
                        </w14:solidFill>
                      </w14:textFill>
                    </w:rPr>
                    <w:t>厂界外1米</w:t>
                  </w: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处</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59.9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50.7 </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59.3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49.4 </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65</w:t>
                  </w:r>
                </w:p>
              </w:tc>
              <w:tc>
                <w:tcPr>
                  <w:tcW w:w="11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2#</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南面</w:t>
                  </w:r>
                  <w:r>
                    <w:rPr>
                      <w:rFonts w:hint="default" w:ascii="Times New Roman" w:hAnsi="Times New Roman" w:eastAsia="宋体" w:cs="Times New Roman"/>
                      <w:iCs/>
                      <w:color w:val="000000" w:themeColor="text1"/>
                      <w:sz w:val="21"/>
                      <w:szCs w:val="21"/>
                      <w:highlight w:val="none"/>
                      <w:lang w:val="en-US" w:eastAsia="zh-CN"/>
                      <w14:textFill>
                        <w14:solidFill>
                          <w14:schemeClr w14:val="tx1"/>
                        </w14:solidFill>
                      </w14:textFill>
                    </w:rPr>
                    <w:t>厂界外1米</w:t>
                  </w: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处</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59.1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48.1 </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58.6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47.6 </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65</w:t>
                  </w:r>
                </w:p>
              </w:tc>
              <w:tc>
                <w:tcPr>
                  <w:tcW w:w="11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3#</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西面</w:t>
                  </w:r>
                  <w:r>
                    <w:rPr>
                      <w:rFonts w:hint="default" w:ascii="Times New Roman" w:hAnsi="Times New Roman" w:eastAsia="宋体" w:cs="Times New Roman"/>
                      <w:iCs/>
                      <w:color w:val="000000" w:themeColor="text1"/>
                      <w:sz w:val="21"/>
                      <w:szCs w:val="21"/>
                      <w:highlight w:val="none"/>
                      <w:lang w:val="en-US" w:eastAsia="zh-CN"/>
                      <w14:textFill>
                        <w14:solidFill>
                          <w14:schemeClr w14:val="tx1"/>
                        </w14:solidFill>
                      </w14:textFill>
                    </w:rPr>
                    <w:t>厂界外1米</w:t>
                  </w: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处</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eastAsia="zh-CN"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60.4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48.8 </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59.9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48.3 </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65</w:t>
                  </w:r>
                </w:p>
              </w:tc>
              <w:tc>
                <w:tcPr>
                  <w:tcW w:w="11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8" w:type="dxa"/>
                  <w:vAlign w:val="center"/>
                </w:tcPr>
                <w:p>
                  <w:pPr>
                    <w:spacing w:before="31" w:beforeLines="10" w:after="31" w:afterLines="10"/>
                    <w:jc w:val="center"/>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4#</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Style w:val="108"/>
                      <w:rFonts w:hint="default" w:ascii="Times New Roman" w:hAnsi="Times New Roman" w:cs="Times New Roman"/>
                      <w:color w:val="000000" w:themeColor="text1"/>
                      <w:sz w:val="18"/>
                      <w:szCs w:val="18"/>
                      <w:highlight w:val="none"/>
                      <w:lang w:bidi="ar"/>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北面</w:t>
                  </w:r>
                  <w:r>
                    <w:rPr>
                      <w:rFonts w:hint="default" w:ascii="Times New Roman" w:hAnsi="Times New Roman" w:eastAsia="宋体" w:cs="Times New Roman"/>
                      <w:iCs/>
                      <w:color w:val="000000" w:themeColor="text1"/>
                      <w:sz w:val="21"/>
                      <w:szCs w:val="21"/>
                      <w:highlight w:val="none"/>
                      <w:lang w:val="en-US" w:eastAsia="zh-CN"/>
                      <w14:textFill>
                        <w14:solidFill>
                          <w14:schemeClr w14:val="tx1"/>
                        </w14:solidFill>
                      </w14:textFill>
                    </w:rPr>
                    <w:t>厂界外1米</w:t>
                  </w: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处</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61.0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48.5 </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60.4 </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 xml:space="preserve">49.2 </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65</w:t>
                  </w:r>
                </w:p>
              </w:tc>
              <w:tc>
                <w:tcPr>
                  <w:tcW w:w="117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right="0" w:rightChars="0"/>
                    <w:jc w:val="center"/>
                    <w:textAlignment w:val="auto"/>
                    <w:outlineLvl w:val="9"/>
                    <w:rPr>
                      <w:rFonts w:hint="eastAsia"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sz w:val="21"/>
                      <w:szCs w:val="21"/>
                      <w:highlight w:val="none"/>
                      <w:lang w:val="en-US" w:eastAsia="zh-CN"/>
                      <w14:textFill>
                        <w14:solidFill>
                          <w14:schemeClr w14:val="tx1"/>
                        </w14:solidFill>
                      </w14:textFill>
                    </w:rPr>
                    <w:t>55</w:t>
                  </w:r>
                </w:p>
              </w:tc>
            </w:tr>
          </w:tbl>
          <w:p>
            <w:pPr>
              <w:adjustRightInd/>
              <w:snapToGrid/>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本次验收监测结果表明，项目厂界四周噪声昼间、夜间测量值均满足</w:t>
            </w:r>
            <w:r>
              <w:rPr>
                <w:rFonts w:hint="eastAsia"/>
                <w:color w:val="000000" w:themeColor="text1"/>
                <w:sz w:val="24"/>
                <w:szCs w:val="24"/>
                <w:highlight w:val="none"/>
                <w:lang w:eastAsia="zh-CN"/>
                <w14:textFill>
                  <w14:solidFill>
                    <w14:schemeClr w14:val="tx1"/>
                  </w14:solidFill>
                </w14:textFill>
              </w:rPr>
              <w:t>。厂界噪声达到《工业企业厂界环境噪声排放标准》(GB12348-2008)中3类标准。</w:t>
            </w:r>
          </w:p>
          <w:p>
            <w:pPr>
              <w:pStyle w:val="31"/>
              <w:keepNext w:val="0"/>
              <w:keepLines w:val="0"/>
              <w:pageBreakBefore w:val="0"/>
              <w:widowControl w:val="0"/>
              <w:kinsoku/>
              <w:wordWrap/>
              <w:overflowPunct/>
              <w:topLinePunct w:val="0"/>
              <w:autoSpaceDE/>
              <w:autoSpaceDN/>
              <w:bidi w:val="0"/>
              <w:spacing w:after="0" w:line="360" w:lineRule="auto"/>
              <w:ind w:firstLine="0" w:firstLineChars="0"/>
              <w:jc w:val="left"/>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7.2.4 废水排放监测结果及分析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color w:val="000000" w:themeColor="text1"/>
                <w:sz w:val="18"/>
                <w:szCs w:val="18"/>
                <w:highlight w:val="none"/>
                <w14:textFill>
                  <w14:solidFill>
                    <w14:schemeClr w14:val="tx1"/>
                  </w14:solidFill>
                </w14:textFill>
              </w:rPr>
            </w:pPr>
            <w:r>
              <w:rPr>
                <w:color w:val="000000" w:themeColor="text1"/>
                <w:sz w:val="24"/>
                <w:szCs w:val="24"/>
                <w:highlight w:val="none"/>
                <w14:textFill>
                  <w14:solidFill>
                    <w14:schemeClr w14:val="tx1"/>
                  </w14:solidFill>
                </w14:textFill>
              </w:rPr>
              <w:t>项目废水监测结果见下表。</w:t>
            </w:r>
          </w:p>
          <w:p>
            <w:pPr>
              <w:snapToGrid w:val="0"/>
              <w:jc w:val="center"/>
              <w:rPr>
                <w:rFonts w:hint="default" w:eastAsia="宋体"/>
                <w:b/>
                <w:color w:val="000000" w:themeColor="text1"/>
                <w:sz w:val="18"/>
                <w:szCs w:val="18"/>
                <w:highlight w:val="none"/>
                <w:lang w:val="en-US" w:eastAsia="zh-CN"/>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5</w:t>
            </w:r>
            <w:r>
              <w:rPr>
                <w:b/>
                <w:color w:val="000000" w:themeColor="text1"/>
                <w:sz w:val="18"/>
                <w:szCs w:val="18"/>
                <w:highlight w:val="none"/>
                <w14:textFill>
                  <w14:solidFill>
                    <w14:schemeClr w14:val="tx1"/>
                  </w14:solidFill>
                </w14:textFill>
              </w:rPr>
              <w:t xml:space="preserve">  废水监测结果一览表</w:t>
            </w:r>
            <w:r>
              <w:rPr>
                <w:rFonts w:hint="eastAsia"/>
                <w:b/>
                <w:color w:val="000000" w:themeColor="text1"/>
                <w:sz w:val="18"/>
                <w:szCs w:val="18"/>
                <w:highlight w:val="none"/>
                <w:lang w:eastAsia="zh-CN"/>
                <w14:textFill>
                  <w14:solidFill>
                    <w14:schemeClr w14:val="tx1"/>
                  </w14:solidFill>
                </w14:textFill>
              </w:rPr>
              <w:t>，单位：</w:t>
            </w:r>
            <w:r>
              <w:rPr>
                <w:rFonts w:hint="eastAsia"/>
                <w:b/>
                <w:color w:val="000000" w:themeColor="text1"/>
                <w:sz w:val="18"/>
                <w:szCs w:val="18"/>
                <w:highlight w:val="none"/>
                <w:lang w:val="en-US" w:eastAsia="zh-CN"/>
                <w14:textFill>
                  <w14:solidFill>
                    <w14:schemeClr w14:val="tx1"/>
                  </w14:solidFill>
                </w14:textFill>
              </w:rPr>
              <w:t>mg/L</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61"/>
              <w:gridCol w:w="881"/>
              <w:gridCol w:w="796"/>
              <w:gridCol w:w="921"/>
              <w:gridCol w:w="822"/>
              <w:gridCol w:w="822"/>
              <w:gridCol w:w="832"/>
              <w:gridCol w:w="1418"/>
              <w:gridCol w:w="1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restart"/>
                  <w:tcBorders>
                    <w:tl2br w:val="nil"/>
                    <w:tr2bl w:val="nil"/>
                  </w:tcBorders>
                  <w:shd w:val="clear" w:color="auto" w:fill="auto"/>
                  <w:vAlign w:val="center"/>
                </w:tcPr>
                <w:p>
                  <w:pPr>
                    <w:pStyle w:val="71"/>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监测</w:t>
                  </w:r>
                </w:p>
                <w:p>
                  <w:pPr>
                    <w:pStyle w:val="71"/>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日期</w:t>
                  </w:r>
                </w:p>
              </w:tc>
              <w:tc>
                <w:tcPr>
                  <w:tcW w:w="4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监测</w:t>
                  </w:r>
                </w:p>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eastAsia="zh-CN"/>
                      <w14:textFill>
                        <w14:solidFill>
                          <w14:schemeClr w14:val="tx1"/>
                        </w14:solidFill>
                      </w14:textFill>
                    </w:rPr>
                    <w:t>点位</w:t>
                  </w:r>
                </w:p>
              </w:tc>
              <w:tc>
                <w:tcPr>
                  <w:tcW w:w="438" w:type="pct"/>
                  <w:vMerge w:val="restart"/>
                  <w:tcBorders>
                    <w:tl2br w:val="nil"/>
                    <w:tr2bl w:val="nil"/>
                  </w:tcBorders>
                  <w:shd w:val="clear" w:color="auto" w:fill="auto"/>
                  <w:vAlign w:val="center"/>
                </w:tcPr>
                <w:p>
                  <w:pPr>
                    <w:widowControl/>
                    <w:jc w:val="center"/>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eastAsia="zh-CN"/>
                      <w14:textFill>
                        <w14:solidFill>
                          <w14:schemeClr w14:val="tx1"/>
                        </w14:solidFill>
                      </w14:textFill>
                    </w:rPr>
                    <w:t>监测项目</w:t>
                  </w:r>
                </w:p>
              </w:tc>
              <w:tc>
                <w:tcPr>
                  <w:tcW w:w="1872" w:type="pct"/>
                  <w:gridSpan w:val="4"/>
                  <w:tcBorders>
                    <w:tl2br w:val="nil"/>
                    <w:tr2bl w:val="nil"/>
                  </w:tcBorders>
                  <w:shd w:val="clear" w:color="auto" w:fill="auto"/>
                  <w:vAlign w:val="center"/>
                </w:tcPr>
                <w:p>
                  <w:pPr>
                    <w:widowControl/>
                    <w:jc w:val="center"/>
                    <w:textAlignment w:val="top"/>
                    <w:rPr>
                      <w:color w:val="000000" w:themeColor="text1"/>
                      <w:sz w:val="21"/>
                      <w:szCs w:val="21"/>
                      <w:highlight w:val="none"/>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eastAsia="zh-CN"/>
                      <w14:textFill>
                        <w14:solidFill>
                          <w14:schemeClr w14:val="tx1"/>
                        </w14:solidFill>
                      </w14:textFill>
                    </w:rPr>
                    <w:t>检测结果</w:t>
                  </w:r>
                </w:p>
              </w:tc>
              <w:tc>
                <w:tcPr>
                  <w:tcW w:w="781" w:type="pct"/>
                  <w:vMerge w:val="restart"/>
                  <w:tcBorders>
                    <w:tl2br w:val="nil"/>
                    <w:tr2bl w:val="nil"/>
                  </w:tcBorders>
                  <w:shd w:val="clear" w:color="auto" w:fill="auto"/>
                  <w:vAlign w:val="center"/>
                </w:tcPr>
                <w:p>
                  <w:pPr>
                    <w:pStyle w:val="71"/>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平均值或范围</w:t>
                  </w:r>
                </w:p>
              </w:tc>
              <w:tc>
                <w:tcPr>
                  <w:tcW w:w="781" w:type="pct"/>
                  <w:vMerge w:val="restart"/>
                  <w:tcBorders>
                    <w:tl2br w:val="nil"/>
                    <w:tr2bl w:val="nil"/>
                  </w:tcBorders>
                  <w:shd w:val="clear" w:color="auto" w:fill="auto"/>
                  <w:vAlign w:val="center"/>
                </w:tcPr>
                <w:p>
                  <w:pPr>
                    <w:pStyle w:val="71"/>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标准限值（mg/L）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639"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c>
                <w:tcPr>
                  <w:tcW w:w="438"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c>
                <w:tcPr>
                  <w:tcW w:w="508"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both"/>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第一次</w:t>
                  </w:r>
                </w:p>
              </w:tc>
              <w:tc>
                <w:tcPr>
                  <w:tcW w:w="453"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第二次</w:t>
                  </w:r>
                </w:p>
              </w:tc>
              <w:tc>
                <w:tcPr>
                  <w:tcW w:w="453" w:type="pct"/>
                  <w:vMerge w:val="restart"/>
                  <w:tcBorders>
                    <w:tl2br w:val="nil"/>
                    <w:tr2bl w:val="nil"/>
                  </w:tcBorders>
                  <w:shd w:val="clear" w:color="auto" w:fill="auto"/>
                  <w:vAlign w:val="center"/>
                </w:tcPr>
                <w:p>
                  <w:pPr>
                    <w:widowControl/>
                    <w:tabs>
                      <w:tab w:val="center" w:pos="375"/>
                      <w:tab w:val="left" w:pos="550"/>
                    </w:tabs>
                    <w:jc w:val="left"/>
                    <w:textAlignment w:val="top"/>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ab/>
                  </w: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第三次</w:t>
                  </w:r>
                </w:p>
              </w:tc>
              <w:tc>
                <w:tcPr>
                  <w:tcW w:w="457"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eastAsia="zh-CN"/>
                      <w14:textFill>
                        <w14:solidFill>
                          <w14:schemeClr w14:val="tx1"/>
                        </w14:solidFill>
                      </w14:textFill>
                    </w:rPr>
                    <w:t>第四次</w:t>
                  </w:r>
                </w:p>
              </w:tc>
              <w:tc>
                <w:tcPr>
                  <w:tcW w:w="781" w:type="pct"/>
                  <w:vMerge w:val="continue"/>
                  <w:tcBorders>
                    <w:tl2br w:val="nil"/>
                    <w:tr2bl w:val="nil"/>
                  </w:tcBorders>
                  <w:shd w:val="clear" w:color="auto" w:fill="auto"/>
                  <w:vAlign w:val="center"/>
                </w:tcPr>
                <w:p>
                  <w:pPr>
                    <w:widowControl/>
                    <w:jc w:val="center"/>
                    <w:textAlignment w:val="top"/>
                    <w:rPr>
                      <w:rFonts w:hint="eastAsia"/>
                      <w:color w:val="000000" w:themeColor="text1"/>
                      <w:sz w:val="21"/>
                      <w:szCs w:val="21"/>
                      <w:highlight w:val="none"/>
                      <w:lang w:val="en-US" w:eastAsia="zh-CN"/>
                      <w14:textFill>
                        <w14:solidFill>
                          <w14:schemeClr w14:val="tx1"/>
                        </w14:solidFill>
                      </w14:textFill>
                    </w:rPr>
                  </w:pPr>
                </w:p>
              </w:tc>
              <w:tc>
                <w:tcPr>
                  <w:tcW w:w="781"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639" w:type="pct"/>
                  <w:vMerge w:val="restart"/>
                  <w:tcBorders>
                    <w:tl2br w:val="nil"/>
                    <w:tr2bl w:val="nil"/>
                  </w:tcBorders>
                  <w:shd w:val="clear" w:color="auto" w:fill="auto"/>
                  <w:vAlign w:val="center"/>
                </w:tcPr>
                <w:p>
                  <w:pPr>
                    <w:pStyle w:val="71"/>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t>2024.01.13</w:t>
                  </w: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kern w:val="0"/>
                      <w:sz w:val="21"/>
                      <w:szCs w:val="21"/>
                      <w:highlight w:val="none"/>
                      <w:lang w:bidi="ar"/>
                      <w14:textFill>
                        <w14:solidFill>
                          <w14:schemeClr w14:val="tx1"/>
                        </w14:solidFill>
                      </w14:textFill>
                    </w:rPr>
                  </w:pPr>
                </w:p>
              </w:tc>
              <w:tc>
                <w:tcPr>
                  <w:tcW w:w="508"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c>
                <w:tcPr>
                  <w:tcW w:w="453"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c>
                <w:tcPr>
                  <w:tcW w:w="453"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c>
                <w:tcPr>
                  <w:tcW w:w="457"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p>
              </w:tc>
              <w:tc>
                <w:tcPr>
                  <w:tcW w:w="781" w:type="pct"/>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both"/>
                    <w:textAlignment w:val="auto"/>
                    <w:outlineLvl w:val="9"/>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p>
              </w:tc>
              <w:tc>
                <w:tcPr>
                  <w:tcW w:w="781" w:type="pct"/>
                  <w:vMerge w:val="continue"/>
                  <w:tcBorders>
                    <w:tl2br w:val="nil"/>
                    <w:tr2bl w:val="nil"/>
                  </w:tcBorders>
                  <w:shd w:val="clear" w:color="auto" w:fill="auto"/>
                  <w:noWrap/>
                  <w:vAlign w:val="center"/>
                </w:tcPr>
                <w:p>
                  <w:pPr>
                    <w:widowControl/>
                    <w:tabs>
                      <w:tab w:val="left" w:pos="565"/>
                    </w:tabs>
                    <w:jc w:val="both"/>
                    <w:textAlignment w:val="top"/>
                    <w:rPr>
                      <w:rFonts w:hint="eastAsia" w:eastAsia="宋体"/>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pStyle w:val="71"/>
                    <w:jc w:val="center"/>
                    <w:rPr>
                      <w:rFonts w:ascii="Times New Roman" w:hAnsi="Times New Roman" w:cs="Times New Roman"/>
                      <w:color w:val="000000" w:themeColor="text1"/>
                      <w:sz w:val="21"/>
                      <w:szCs w:val="21"/>
                      <w:highlight w:val="none"/>
                      <w14:textFill>
                        <w14:solidFill>
                          <w14:schemeClr w14:val="tx1"/>
                        </w14:solidFill>
                      </w14:textFill>
                    </w:rPr>
                  </w:pPr>
                </w:p>
              </w:tc>
              <w:tc>
                <w:tcPr>
                  <w:tcW w:w="4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ascii="Times New Roman" w:hAnsi="Times New Roman"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D</w:t>
                  </w:r>
                  <w:r>
                    <w:rPr>
                      <w:rFonts w:hint="eastAsia" w:ascii="Times New Roman" w:hAnsi="Times New Roman" w:eastAsia="宋体" w:cs="Times New Roman"/>
                      <w:iCs/>
                      <w:color w:val="000000" w:themeColor="text1"/>
                      <w:kern w:val="0"/>
                      <w:sz w:val="21"/>
                      <w:szCs w:val="21"/>
                      <w:highlight w:val="none"/>
                      <w14:textFill>
                        <w14:solidFill>
                          <w14:schemeClr w14:val="tx1"/>
                        </w14:solidFill>
                      </w14:textFill>
                    </w:rPr>
                    <w:t>W</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001废水处理前</w:t>
                  </w: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pH值</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7.8</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7.8</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7.8~8.0</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21"/>
                      <w:szCs w:val="21"/>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SS</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123</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115</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average(D4:G4)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119</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21"/>
                      <w:szCs w:val="21"/>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21"/>
                      <w:szCs w:val="21"/>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eastAsia="宋体"/>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COD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Cr</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342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324</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336</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average(D5:G5)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333</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eastAsia="宋体"/>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BOD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5</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115</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116</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average(D6:G6)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116</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eastAsia"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eastAsia="宋体"/>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氨氮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17.6</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16.8</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15.3</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average(D7:G7)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16.3</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24.2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25.9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23.4</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22.9</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average(D8:G8)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24.1</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总磷</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3.52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3.69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3.44</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3.32</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average(D9:G9)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3.49</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动植物油</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3.28</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3.24</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3.17</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average(D10:G10)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3.25</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D</w:t>
                  </w:r>
                  <w:r>
                    <w:rPr>
                      <w:rFonts w:hint="eastAsia" w:ascii="Times New Roman" w:hAnsi="Times New Roman" w:eastAsia="宋体" w:cs="Times New Roman"/>
                      <w:iCs/>
                      <w:color w:val="000000" w:themeColor="text1"/>
                      <w:kern w:val="0"/>
                      <w:sz w:val="21"/>
                      <w:szCs w:val="21"/>
                      <w:highlight w:val="none"/>
                      <w14:textFill>
                        <w14:solidFill>
                          <w14:schemeClr w14:val="tx1"/>
                        </w14:solidFill>
                      </w14:textFill>
                    </w:rPr>
                    <w:t>W</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001废水排放口</w:t>
                  </w: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pH值</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7.0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6.9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6.9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7.1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6.9~7.1</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SS</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56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57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41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40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average(D12:G12)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48</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COD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Cr</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205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215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179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191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average(D13:G13)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19</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BOD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5</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72.1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72.9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76.1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75.9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average(D14:G14)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74.2</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氨氮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6.92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5.49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4.56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4.89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average(D15:G15)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5.46</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13.7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15.8</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13.4</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average(D16:G16)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总磷</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1.43</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1.11</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1.06</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1.23</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average(D17:G17)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85" w:type="pct"/>
                  <w:vMerge w:val="continue"/>
                  <w:tcBorders>
                    <w:tl2br w:val="nil"/>
                    <w:tr2bl w:val="nil"/>
                  </w:tcBorders>
                  <w:shd w:val="clear" w:color="auto" w:fill="auto"/>
                  <w:vAlign w:val="center"/>
                </w:tcPr>
                <w:p>
                  <w:pPr>
                    <w:widowControl/>
                    <w:jc w:val="center"/>
                    <w:rPr>
                      <w:color w:val="000000" w:themeColor="text1"/>
                      <w:sz w:val="18"/>
                      <w:szCs w:val="18"/>
                      <w:highlight w:val="none"/>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动植物油</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1.21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1.26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1.59 </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1.92 </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cs="Times New Roman"/>
                      <w:color w:val="000000" w:themeColor="text1"/>
                      <w:kern w:val="2"/>
                      <w:sz w:val="18"/>
                      <w:szCs w:val="18"/>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average(D18:G18)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0</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2024.01.14</w:t>
                  </w:r>
                </w:p>
              </w:tc>
              <w:tc>
                <w:tcPr>
                  <w:tcW w:w="4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D</w:t>
                  </w:r>
                  <w:r>
                    <w:rPr>
                      <w:rFonts w:hint="eastAsia" w:ascii="Times New Roman" w:hAnsi="Times New Roman" w:eastAsia="宋体" w:cs="Times New Roman"/>
                      <w:iCs/>
                      <w:color w:val="000000" w:themeColor="text1"/>
                      <w:kern w:val="0"/>
                      <w:sz w:val="21"/>
                      <w:szCs w:val="21"/>
                      <w:highlight w:val="none"/>
                      <w14:textFill>
                        <w14:solidFill>
                          <w14:schemeClr w14:val="tx1"/>
                        </w14:solidFill>
                      </w14:textFill>
                    </w:rPr>
                    <w:t>W</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001废水处理前</w:t>
                  </w: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pH值</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8.1</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8.3</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8.2</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8.1</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8.1~8.3</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SS</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135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142</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145</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average(D4:G4)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143</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COD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Cr</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318</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324</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335</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329</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average(D5:G5)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326</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BOD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5</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119</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121</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average(D6:G6)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119</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氨氮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19.5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18.7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17.4</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18.2</w:t>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average(D7:G7)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18.4</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26.8</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29.2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28.5</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29.0</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average(D8:G8)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28.4</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总磷</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3.75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3.66</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3.82</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3.69</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average(D9:G9)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3.73</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动植物油</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3.45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3.40</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3.31</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average(D10:G10) \* MERGEFORMAT </w:instrTex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3.38</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300" w:lineRule="exact"/>
                    <w:ind w:left="0" w:leftChars="0" w:right="0" w:rightChars="0" w:firstLine="0" w:firstLine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D</w:t>
                  </w:r>
                  <w:r>
                    <w:rPr>
                      <w:rFonts w:hint="eastAsia" w:ascii="Times New Roman" w:hAnsi="Times New Roman" w:eastAsia="宋体" w:cs="Times New Roman"/>
                      <w:iCs/>
                      <w:color w:val="000000" w:themeColor="text1"/>
                      <w:kern w:val="0"/>
                      <w:sz w:val="21"/>
                      <w:szCs w:val="21"/>
                      <w:highlight w:val="none"/>
                      <w14:textFill>
                        <w14:solidFill>
                          <w14:schemeClr w14:val="tx1"/>
                        </w14:solidFill>
                      </w14:textFill>
                    </w:rPr>
                    <w:t>W</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001废水排放口</w:t>
                  </w: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pH值</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7.1</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6.8</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6.9</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6.8~7.1</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SS</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54</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52</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50</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53</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average(D12:G12)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52</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bidi="ar-SA"/>
                      <w14:textFill>
                        <w14:solidFill>
                          <w14:schemeClr w14:val="tx1"/>
                        </w14:solidFill>
                      </w14:textFill>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COD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Cr</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215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223</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210</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212</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average(D13:G13)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215</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14:textFill>
                        <w14:solidFill>
                          <w14:schemeClr w14:val="tx1"/>
                        </w14:solidFill>
                      </w14:textFill>
                    </w:rPr>
                    <w:t>BOD</w:t>
                  </w:r>
                  <w:r>
                    <w:rPr>
                      <w:rFonts w:hint="default" w:ascii="Times New Roman" w:hAnsi="Times New Roman" w:eastAsia="宋体" w:cs="Times New Roman"/>
                      <w:iCs/>
                      <w:color w:val="000000" w:themeColor="text1"/>
                      <w:kern w:val="0"/>
                      <w:sz w:val="21"/>
                      <w:szCs w:val="21"/>
                      <w:highlight w:val="none"/>
                      <w:vertAlign w:val="subscript"/>
                      <w14:textFill>
                        <w14:solidFill>
                          <w14:schemeClr w14:val="tx1"/>
                        </w14:solidFill>
                      </w14:textFill>
                    </w:rPr>
                    <w:t>5</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70.8</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73.4</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72.5</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71.9</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average(D14:G14)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72.</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氨氮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7.15</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7.20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7.23</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7.36</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average(D15:G15)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7.2</w:t>
                  </w: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总氮</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14.0</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14.7</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15.6</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14.2</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average(D16:G16)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14.6</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总磷</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1.55</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1.59</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1.60</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1.43</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average(D17:G17)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1.54</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639"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85"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p>
              </w:tc>
              <w:tc>
                <w:tcPr>
                  <w:tcW w:w="43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动植物油</w:t>
                  </w:r>
                </w:p>
              </w:tc>
              <w:tc>
                <w:tcPr>
                  <w:tcW w:w="50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1.08</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 xml:space="preserve"> </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1.24</w:t>
                  </w:r>
                </w:p>
              </w:tc>
              <w:tc>
                <w:tcPr>
                  <w:tcW w:w="453"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1.22</w:t>
                  </w:r>
                </w:p>
              </w:tc>
              <w:tc>
                <w:tcPr>
                  <w:tcW w:w="457"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1.20</w:t>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instrText xml:space="preserve"> = average(D18:G18) \* MERGEFORMAT </w:instrTex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1.18</w:t>
                  </w:r>
                  <w:r>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fldChar w:fldCharType="end"/>
                  </w:r>
                </w:p>
              </w:tc>
              <w:tc>
                <w:tcPr>
                  <w:tcW w:w="7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right="0" w:rightChars="0"/>
                    <w:jc w:val="center"/>
                    <w:textAlignment w:val="auto"/>
                    <w:outlineLvl w:val="9"/>
                    <w:rPr>
                      <w:rFonts w:hint="default"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iCs/>
                      <w:color w:val="000000" w:themeColor="text1"/>
                      <w:kern w:val="0"/>
                      <w:sz w:val="21"/>
                      <w:szCs w:val="21"/>
                      <w:highlight w:val="none"/>
                      <w:lang w:val="en-US" w:eastAsia="zh-CN"/>
                      <w14:textFill>
                        <w14:solidFill>
                          <w14:schemeClr w14:val="tx1"/>
                        </w14:solidFill>
                      </w14:textFill>
                    </w:rPr>
                    <w:t>100</w:t>
                  </w:r>
                </w:p>
              </w:tc>
            </w:tr>
          </w:tbl>
          <w:p>
            <w:pPr>
              <w:widowControl/>
              <w:adjustRightInd/>
              <w:snapToGrid/>
              <w:spacing w:line="360" w:lineRule="auto"/>
              <w:ind w:firstLine="480" w:firstLineChars="200"/>
              <w:jc w:val="left"/>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本次验收监测结果表明，项目废水</w:t>
            </w:r>
            <w:r>
              <w:rPr>
                <w:rFonts w:hint="eastAsia"/>
                <w:color w:val="000000" w:themeColor="text1"/>
                <w:sz w:val="24"/>
                <w:szCs w:val="24"/>
                <w:highlight w:val="none"/>
                <w14:textFill>
                  <w14:solidFill>
                    <w14:schemeClr w14:val="tx1"/>
                  </w14:solidFill>
                </w14:textFill>
              </w:rPr>
              <w:t>可以达到江西丰城高新技术产业园区接管标准</w:t>
            </w:r>
            <w:r>
              <w:rPr>
                <w:color w:val="000000" w:themeColor="text1"/>
                <w:sz w:val="24"/>
                <w:szCs w:val="24"/>
                <w:highlight w:val="none"/>
                <w14:textFill>
                  <w14:solidFill>
                    <w14:schemeClr w14:val="tx1"/>
                  </w14:solidFill>
                </w14:textFill>
              </w:rPr>
              <w:t>。</w:t>
            </w:r>
          </w:p>
          <w:p>
            <w:pPr>
              <w:pStyle w:val="71"/>
              <w:spacing w:line="360" w:lineRule="auto"/>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color w:val="000000" w:themeColor="text1"/>
                <w:kern w:val="2"/>
                <w:sz w:val="24"/>
                <w:szCs w:val="24"/>
                <w:highlight w:val="none"/>
                <w:lang w:eastAsia="zh-CN"/>
                <w14:textFill>
                  <w14:solidFill>
                    <w14:schemeClr w14:val="tx1"/>
                  </w14:solidFill>
                </w14:textFill>
              </w:rPr>
              <w:t>7.2.6固</w:t>
            </w:r>
            <w:r>
              <w:rPr>
                <w:rFonts w:ascii="Times New Roman" w:hAnsi="Times New Roman" w:cs="Times New Roman"/>
                <w:b/>
                <w:bCs/>
                <w:color w:val="000000" w:themeColor="text1"/>
                <w:sz w:val="24"/>
                <w:szCs w:val="24"/>
                <w:highlight w:val="none"/>
                <w:lang w:eastAsia="zh-CN"/>
                <w14:textFill>
                  <w14:solidFill>
                    <w14:schemeClr w14:val="tx1"/>
                  </w14:solidFill>
                </w14:textFill>
              </w:rPr>
              <w:t>废产生量及处理处置情况</w:t>
            </w:r>
          </w:p>
          <w:p>
            <w:p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1项目</w:t>
            </w:r>
            <w:r>
              <w:rPr>
                <w:rFonts w:hint="default" w:ascii="Times New Roman" w:hAnsi="Times New Roman" w:cs="Times New Roman"/>
                <w:color w:val="000000" w:themeColor="text1"/>
                <w:sz w:val="24"/>
                <w:szCs w:val="24"/>
                <w:highlight w:val="none"/>
                <w14:textFill>
                  <w14:solidFill>
                    <w14:schemeClr w14:val="tx1"/>
                  </w14:solidFill>
                </w14:textFill>
              </w:rPr>
              <w:t>废包装袋</w:t>
            </w:r>
            <w:r>
              <w:rPr>
                <w:rFonts w:hint="eastAsia"/>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废编织袋集中收集后</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外售废品回收站；</w:t>
            </w:r>
            <w:r>
              <w:rPr>
                <w:rFonts w:hint="default" w:ascii="Times New Roman" w:hAnsi="Times New Roman" w:cs="Times New Roman"/>
                <w:color w:val="000000" w:themeColor="text1"/>
                <w:sz w:val="24"/>
                <w:szCs w:val="24"/>
                <w:highlight w:val="none"/>
                <w14:textFill>
                  <w14:solidFill>
                    <w14:schemeClr w14:val="tx1"/>
                  </w14:solidFill>
                </w14:textFill>
              </w:rPr>
              <w:t>除尘灰</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集中收集后外售养殖场</w:t>
            </w:r>
            <w:r>
              <w:rPr>
                <w:rFonts w:hint="eastAsia"/>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、生活垃圾</w:t>
            </w:r>
            <w:r>
              <w:rPr>
                <w:rFonts w:hint="default" w:ascii="Times New Roman" w:hAnsi="Times New Roman" w:cs="Times New Roman"/>
                <w:color w:val="000000" w:themeColor="text1"/>
                <w:sz w:val="24"/>
                <w:szCs w:val="24"/>
                <w:highlight w:val="none"/>
                <w14:textFill>
                  <w14:solidFill>
                    <w14:schemeClr w14:val="tx1"/>
                  </w14:solidFill>
                </w14:textFill>
              </w:rPr>
              <w:t>收集后由环卫部门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处理</w:t>
            </w:r>
            <w:r>
              <w:rPr>
                <w:color w:val="000000" w:themeColor="text1"/>
                <w:sz w:val="24"/>
                <w:szCs w:val="24"/>
                <w:highlight w:val="none"/>
                <w14:textFill>
                  <w14:solidFill>
                    <w14:schemeClr w14:val="tx1"/>
                  </w14:solidFill>
                </w14:textFill>
              </w:rPr>
              <w:t>。</w:t>
            </w:r>
          </w:p>
          <w:p>
            <w:pPr>
              <w:spacing w:line="360" w:lineRule="auto"/>
              <w:jc w:val="left"/>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7.2.7总量控制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本项目为新建项目，</w:t>
            </w: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综合</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cs="Times New Roman"/>
                <w:color w:val="000000" w:themeColor="text1"/>
                <w:sz w:val="24"/>
                <w:szCs w:val="24"/>
                <w:highlight w:val="none"/>
                <w14:textFill>
                  <w14:solidFill>
                    <w14:schemeClr w14:val="tx1"/>
                  </w14:solidFill>
                </w14:textFill>
              </w:rPr>
              <w:t>水产生量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5864.1</w:t>
            </w:r>
            <w:r>
              <w:rPr>
                <w:rFonts w:hint="default" w:ascii="Times New Roman" w:hAnsi="Times New Roman" w:cs="Times New Roman"/>
                <w:color w:val="000000" w:themeColor="text1"/>
                <w:sz w:val="24"/>
                <w:szCs w:val="24"/>
                <w:highlight w:val="none"/>
                <w14:textFill>
                  <w14:solidFill>
                    <w14:schemeClr w14:val="tx1"/>
                  </w14:solidFill>
                </w14:textFill>
              </w:rPr>
              <w:t>t/a，CODcr、NH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-N的进入江西丰城高新技术产业园区污水处理厂之前排放浓度分别为：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424.549</w:t>
            </w:r>
            <w:r>
              <w:rPr>
                <w:rFonts w:hint="default" w:ascii="Times New Roman" w:hAnsi="Times New Roman" w:cs="Times New Roman"/>
                <w:color w:val="000000" w:themeColor="text1"/>
                <w:sz w:val="24"/>
                <w:szCs w:val="24"/>
                <w:highlight w:val="none"/>
                <w14:textFill>
                  <w14:solidFill>
                    <w14:schemeClr w14:val="tx1"/>
                  </w14:solidFill>
                </w14:textFill>
              </w:rPr>
              <w:t>mg/L，</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29.808</w:t>
            </w:r>
            <w:r>
              <w:rPr>
                <w:rFonts w:hint="default" w:ascii="Times New Roman" w:hAnsi="Times New Roman" w:cs="Times New Roman"/>
                <w:color w:val="000000" w:themeColor="text1"/>
                <w:sz w:val="24"/>
                <w:szCs w:val="24"/>
                <w:highlight w:val="none"/>
                <w14:textFill>
                  <w14:solidFill>
                    <w14:schemeClr w14:val="tx1"/>
                  </w14:solidFill>
                </w14:textFill>
              </w:rPr>
              <w:t>mg/L，废水最终进入江西丰城高新技术产业园区污水处理厂进行处理，尾水达到《城镇污水处理厂污染物排放标准》（GB18918-2002）中一级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标准后排入赣江，其对应的CODcr、NH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-N的排放浓度分别为：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0mg/L，</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mg/L。本项目总量控制指标为：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本项目总量控制指标为：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bookmarkStart w:id="9" w:name="_Hlk34154145"/>
            <w:r>
              <w:rPr>
                <w:rFonts w:hint="default" w:ascii="Times New Roman" w:hAnsi="Times New Roman" w:cs="Times New Roman"/>
                <w:color w:val="000000" w:themeColor="text1"/>
                <w:sz w:val="24"/>
                <w:szCs w:val="24"/>
                <w:highlight w:val="none"/>
                <w14:textFill>
                  <w14:solidFill>
                    <w14:schemeClr w14:val="tx1"/>
                  </w14:solidFill>
                </w14:textFill>
              </w:rPr>
              <w:t>考核指标：CODcr：</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5864.1</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424.549</w:t>
            </w:r>
            <w:r>
              <w:rPr>
                <w:rFonts w:hint="default" w:ascii="Times New Roman" w:hAnsi="Times New Roman" w:cs="Times New Roman"/>
                <w:color w:val="000000" w:themeColor="text1"/>
                <w:sz w:val="24"/>
                <w:szCs w:val="24"/>
                <w:highlight w:val="none"/>
                <w14:textFill>
                  <w14:solidFill>
                    <w14:schemeClr w14:val="tx1"/>
                  </w14:solidFill>
                </w14:textFill>
              </w:rPr>
              <w:t>×10</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2.49</w:t>
            </w:r>
            <w:r>
              <w:rPr>
                <w:rFonts w:hint="default" w:ascii="Times New Roman" w:hAnsi="Times New Roman" w:cs="Times New Roman"/>
                <w:color w:val="000000" w:themeColor="text1"/>
                <w:sz w:val="24"/>
                <w:szCs w:val="24"/>
                <w:highlight w:val="none"/>
                <w14:textFill>
                  <w14:solidFill>
                    <w14:schemeClr w14:val="tx1"/>
                  </w14:solidFill>
                </w14:textFill>
              </w:rPr>
              <w:t>t/a；</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-N：</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5864.1</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29.808</w:t>
            </w:r>
            <w:r>
              <w:rPr>
                <w:rFonts w:hint="default" w:ascii="Times New Roman" w:hAnsi="Times New Roman" w:cs="Times New Roman"/>
                <w:color w:val="000000" w:themeColor="text1"/>
                <w:sz w:val="24"/>
                <w:szCs w:val="24"/>
                <w:highlight w:val="none"/>
                <w14:textFill>
                  <w14:solidFill>
                    <w14:schemeClr w14:val="tx1"/>
                  </w14:solidFill>
                </w14:textFill>
              </w:rPr>
              <w:t>×10</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0.175</w:t>
            </w:r>
            <w:r>
              <w:rPr>
                <w:rFonts w:hint="default" w:ascii="Times New Roman" w:hAnsi="Times New Roman" w:cs="Times New Roman"/>
                <w:color w:val="000000" w:themeColor="text1"/>
                <w:sz w:val="24"/>
                <w:szCs w:val="24"/>
                <w:highlight w:val="none"/>
                <w14:textFill>
                  <w14:solidFill>
                    <w14:schemeClr w14:val="tx1"/>
                  </w14:solidFill>
                </w14:textFill>
              </w:rPr>
              <w:t>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控制指标：CODcr：</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5864.1</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0×10</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293</w:t>
            </w:r>
            <w:r>
              <w:rPr>
                <w:rFonts w:hint="default" w:ascii="Times New Roman" w:hAnsi="Times New Roman" w:cs="Times New Roman"/>
                <w:color w:val="000000" w:themeColor="text1"/>
                <w:sz w:val="24"/>
                <w:szCs w:val="24"/>
                <w:highlight w:val="none"/>
                <w14:textFill>
                  <w14:solidFill>
                    <w14:schemeClr w14:val="tx1"/>
                  </w14:solidFill>
                </w14:textFill>
              </w:rPr>
              <w:t>t/a；</w:t>
            </w:r>
          </w:p>
          <w:p>
            <w:pPr>
              <w:keepNext w:val="0"/>
              <w:keepLines w:val="0"/>
              <w:suppressLineNumbers w:val="0"/>
              <w:spacing w:before="0" w:beforeAutospacing="0" w:after="0" w:afterAutospacing="0" w:line="360" w:lineRule="auto"/>
              <w:ind w:left="0" w:right="0" w:firstLine="1680" w:firstLineChars="7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-N：</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5864.1</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×10</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29</w:t>
            </w:r>
            <w:r>
              <w:rPr>
                <w:rFonts w:hint="default" w:ascii="Times New Roman" w:hAnsi="Times New Roman" w:cs="Times New Roman"/>
                <w:color w:val="000000" w:themeColor="text1"/>
                <w:sz w:val="24"/>
                <w:szCs w:val="24"/>
                <w:highlight w:val="none"/>
                <w14:textFill>
                  <w14:solidFill>
                    <w14:schemeClr w14:val="tx1"/>
                  </w14:solidFill>
                </w14:textFill>
              </w:rPr>
              <w:t>t/a。</w:t>
            </w:r>
          </w:p>
          <w:bookmarkEnd w:id="9"/>
          <w:p>
            <w:pPr>
              <w:spacing w:line="360" w:lineRule="auto"/>
              <w:ind w:firstLine="480" w:firstLineChars="200"/>
              <w:jc w:val="left"/>
              <w:rPr>
                <w:color w:val="000000" w:themeColor="text1"/>
                <w:sz w:val="24"/>
                <w:szCs w:val="24"/>
                <w:highlight w:val="none"/>
                <w14:textFill>
                  <w14:solidFill>
                    <w14:schemeClr w14:val="tx1"/>
                  </w14:solidFill>
                </w14:textFill>
              </w:rPr>
            </w:pPr>
          </w:p>
        </w:tc>
      </w:tr>
      <w:bookmarkEnd w:id="8"/>
    </w:tbl>
    <w:p>
      <w:pPr>
        <w:pStyle w:val="5"/>
        <w:rPr>
          <w:b w:val="0"/>
          <w:bCs/>
          <w:color w:val="000000" w:themeColor="text1"/>
          <w:szCs w:val="24"/>
          <w14:textFill>
            <w14:solidFill>
              <w14:schemeClr w14:val="tx1"/>
            </w14:solidFill>
          </w14:textFill>
        </w:rPr>
      </w:pPr>
      <w:bookmarkStart w:id="10" w:name="_Toc523906062"/>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八</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环评及批复落实情况</w:t>
      </w:r>
      <w:bookmarkEnd w:id="10"/>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该公司切实按照环评建议及环评批复要求，落实各项环保措施。环评批复落实情况见表8-1。</w:t>
            </w:r>
          </w:p>
          <w:p>
            <w:pPr>
              <w:pStyle w:val="90"/>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8</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项目环评及环评批复落实情况一览表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4657"/>
              <w:gridCol w:w="2746"/>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2568"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环评及环评批复要求</w:t>
                  </w:r>
                </w:p>
              </w:tc>
              <w:tc>
                <w:tcPr>
                  <w:tcW w:w="151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落实情况</w:t>
                  </w:r>
                </w:p>
              </w:tc>
              <w:tc>
                <w:tcPr>
                  <w:tcW w:w="483"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是否</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2568" w:type="pct"/>
                  <w:tcBorders>
                    <w:tl2br w:val="nil"/>
                    <w:tr2bl w:val="nil"/>
                  </w:tcBorders>
                  <w:vAlign w:val="center"/>
                </w:tcPr>
                <w:p>
                  <w:pPr>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严格落实大气污染防治措施。本项目运营期产生的废气主要包括第一次粉碎、第二次粉碎、过筛工序产生的颗粒物和食堂油烟，项目废气经集气罩+脉冲布袋除尘器处理后须满足《大气污染物综合排放标准》（GB16297-1996）中表2中二级标准限值要求及无组织排放监控浓度限值要求后通过一根15m高排气筒排放。食堂油烟净化器处理后需满足《饮食业油烟排放标准》（GB18483-2001）小型规模排放标准要求。</w:t>
                  </w:r>
                </w:p>
              </w:tc>
              <w:tc>
                <w:tcPr>
                  <w:tcW w:w="1514" w:type="pct"/>
                  <w:tcBorders>
                    <w:tl2br w:val="nil"/>
                    <w:tr2bl w:val="nil"/>
                  </w:tcBorders>
                  <w:vAlign w:val="center"/>
                </w:tcPr>
                <w:p>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有组织废气：一次粉碎、二次粉粹工序产生的颗粒物。经集气罩+布袋除尘器+15m高排气筒（DA001）排放，排放浓度可满足《大气污染物综合排放标准》（GB16297-1996）中表2颗粒物（其他）二级标准限值要求。食堂工作时产生的油烟经油烟净化器处理后，引至屋顶排放（DA002），排放浓度满足《饮食业油烟排放标准》（GB18483－2001）小型规模排放标准要求。</w:t>
                  </w:r>
                </w:p>
                <w:p>
                  <w:pPr>
                    <w:adjustRightInd w:val="0"/>
                    <w:snapToGrid w:val="0"/>
                    <w:spacing w:line="240" w:lineRule="auto"/>
                    <w:jc w:val="both"/>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无组织废气：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未收集的无组织废气排放，加强车间密闭处理，无组织排放执行《大气污染物综合排放标准》（GB16297-1996），不会对周边大气环境产生明显的不利影响。</w:t>
                  </w:r>
                </w:p>
              </w:tc>
              <w:tc>
                <w:tcPr>
                  <w:tcW w:w="483"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严格落实水污染防治措施。本项目废水主要为设备清洗废水、清洁废水和生活污水，项目废水依托江西恒顶生物食品有限公司污水处理站处理后须达到园区污水处理厂纳管标准要求，再通过园区污水管网排入园区污水处理厂深度处理后达标排放。</w:t>
                  </w:r>
                </w:p>
              </w:tc>
              <w:tc>
                <w:tcPr>
                  <w:tcW w:w="1514" w:type="pct"/>
                  <w:tcBorders>
                    <w:tl2br w:val="nil"/>
                    <w:tr2bl w:val="nil"/>
                  </w:tcBorders>
                  <w:vAlign w:val="center"/>
                </w:tcPr>
                <w:p>
                  <w:pPr>
                    <w:ind w:firstLine="0" w:firstLineChars="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本项目生产废水和生活污水托江西恒顶食品有限公司污水处理站处理，满足江西丰城高新技术产业园区污水处理厂接管标准后排入江西丰城高新技术产业园区污水处理厂（二期）。</w:t>
                  </w:r>
                </w:p>
              </w:tc>
              <w:tc>
                <w:tcPr>
                  <w:tcW w:w="483" w:type="pct"/>
                  <w:tcBorders>
                    <w:tl2br w:val="nil"/>
                    <w:tr2bl w:val="nil"/>
                  </w:tcBorders>
                  <w:vAlign w:val="center"/>
                </w:tcPr>
                <w:p>
                  <w:pPr>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严格落实固体废物分类处置和综合利用措施。项目固废主要为废包装袋、除尘灰、生活垃圾等。项目产生的一般工业固体废物应合法处置，一般固废暂存间的设计、建设和运行须满足《一般工业固体废物贮存和填埋污染控制标准》（GB18599-2020）相关要求；危险废物暂存应满足《危险废物贮存污染控制标准》（GB18597-2001）及2013修改单要求。</w:t>
                  </w:r>
                </w:p>
              </w:tc>
              <w:tc>
                <w:tcPr>
                  <w:tcW w:w="1514" w:type="pct"/>
                  <w:tcBorders>
                    <w:tl2br w:val="nil"/>
                    <w:tr2bl w:val="nil"/>
                  </w:tcBorders>
                  <w:vAlign w:val="center"/>
                </w:tcPr>
                <w:p>
                  <w:pPr>
                    <w:topLinePunc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废包装袋、废编织袋集中收集后外售废品回收站；除尘灰集中收集后外售养殖场；生活垃圾收集后由当地环卫部门统一清运处理。采取以上措施后，本项目所产生的固体废物均可得到妥善处理，处理率为100%，对周围环境影响较小。</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噪声</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严格落实环境噪声污染防治措施。项目噪声主要为生产设备噪声。尽量选用低噪声设备，采取隔声、消声、减振等有效措施控制环境噪声影响，厂界噪声必须满足《工业企业厂界环境噪声排放标准》（GB12348-2008）3类标准要求。</w:t>
                  </w:r>
                </w:p>
              </w:tc>
              <w:tc>
                <w:tcPr>
                  <w:tcW w:w="1514"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噪声源主要为生产设备运行过程中产生的噪声，噪声源强约为70~85dB（A），通过隔声、减震、自然衰减后等措施后，项目运营期厂界噪声执行《工业企业厂界环境噪声排放标准》（GB12348-2008）中3类区标准，因此项目不会对周围声环境产生明显的不利影响</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排污口规范化</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排污口规范化。你单位应按国家有关规定设置规范的污染物排放口，并设立标志牌。</w:t>
                  </w:r>
                </w:p>
              </w:tc>
              <w:tc>
                <w:tcPr>
                  <w:tcW w:w="1514" w:type="pct"/>
                  <w:tcBorders>
                    <w:tl2br w:val="nil"/>
                    <w:tr2bl w:val="nil"/>
                  </w:tcBorders>
                  <w:vAlign w:val="center"/>
                </w:tcPr>
                <w:p>
                  <w:pPr>
                    <w:topLinePunct/>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已按照国家有关规定设置规范的污染物排放口，并已</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设立环保标志牌</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环境风险</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严格落实环境风险防范措施。项目应严格落实《报告表》中提出的各项环境风险防范措施，认真制定环境风险应急预案，配备环境应急设施和装备，定期开展应急演练。一旦发生环境风险事故，必须启动应急预案，控制并削减项目对外环境的污染影响。</w:t>
                  </w:r>
                </w:p>
              </w:tc>
              <w:tc>
                <w:tcPr>
                  <w:tcW w:w="1514" w:type="pct"/>
                  <w:tcBorders>
                    <w:tl2br w:val="nil"/>
                    <w:tr2bl w:val="nil"/>
                  </w:tcBorders>
                  <w:vAlign w:val="center"/>
                </w:tcPr>
                <w:p>
                  <w:pPr>
                    <w:topLinePun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已按照安全、消防等行政管理部门的要求进行设计、建设。</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w:t>
                  </w:r>
                  <w:r>
                    <w:rPr>
                      <w:rFonts w:hint="default" w:ascii="Times New Roman" w:hAnsi="Times New Roman" w:eastAsia="宋体" w:cs="Times New Roman"/>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总量控制要求</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项目主要污染物总量控制指标为：COD≤0.</w:t>
                  </w:r>
                  <w:r>
                    <w:rPr>
                      <w:rFonts w:hint="eastAsia"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t/a，NH3-N≤0.01</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514" w:type="pct"/>
                  <w:tcBorders>
                    <w:tl2br w:val="nil"/>
                    <w:tr2bl w:val="nil"/>
                  </w:tcBorders>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满足</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信息公开要求</w:t>
                  </w:r>
                </w:p>
              </w:tc>
              <w:tc>
                <w:tcPr>
                  <w:tcW w:w="2568" w:type="pct"/>
                  <w:tcBorders>
                    <w:tl2br w:val="nil"/>
                    <w:tr2bl w:val="nil"/>
                  </w:tcBorders>
                  <w:vAlign w:val="center"/>
                </w:tcPr>
                <w:p>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信息公开要求。在施工和项目运营过程中，应建立畅通的公众参与平台，及时解决公众提出的环境问题，满足公众合理的环境诉求。定期发布企业环境信息，并主动接受社会监督。</w:t>
                  </w:r>
                </w:p>
              </w:tc>
              <w:tc>
                <w:tcPr>
                  <w:tcW w:w="1514" w:type="pct"/>
                  <w:tcBorders>
                    <w:tl2br w:val="nil"/>
                    <w:tr2bl w:val="nil"/>
                  </w:tcBorders>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满足</w:t>
                  </w:r>
                </w:p>
              </w:tc>
              <w:tc>
                <w:tcPr>
                  <w:tcW w:w="483" w:type="pct"/>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已落实</w:t>
                  </w:r>
                </w:p>
              </w:tc>
            </w:tr>
          </w:tbl>
          <w:p>
            <w:pPr>
              <w:spacing w:line="360" w:lineRule="auto"/>
              <w:ind w:firstLine="480" w:firstLineChars="200"/>
              <w:rPr>
                <w:color w:val="000000" w:themeColor="text1"/>
                <w:sz w:val="24"/>
                <w14:textFill>
                  <w14:solidFill>
                    <w14:schemeClr w14:val="tx1"/>
                  </w14:solidFill>
                </w14:textFill>
              </w:rPr>
            </w:pPr>
          </w:p>
        </w:tc>
      </w:tr>
    </w:tbl>
    <w:p>
      <w:pPr>
        <w:bidi w:val="0"/>
        <w:rPr>
          <w:color w:val="000000" w:themeColor="text1"/>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11" w:name="_Toc523906063"/>
    </w:p>
    <w:p>
      <w:pPr>
        <w:pStyle w:val="5"/>
        <w:rPr>
          <w:b w:val="0"/>
          <w:color w:val="000000" w:themeColor="text1"/>
          <w:szCs w:val="24"/>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九  验收</w:t>
      </w:r>
      <w:r>
        <w:rPr>
          <w:color w:val="000000" w:themeColor="text1"/>
          <w14:textFill>
            <w14:solidFill>
              <w14:schemeClr w14:val="tx1"/>
            </w14:solidFill>
          </w14:textFill>
        </w:rPr>
        <w:t>监测结论及建议</w:t>
      </w:r>
      <w:bookmarkEnd w:id="11"/>
    </w:p>
    <w:tbl>
      <w:tblPr>
        <w:tblStyle w:val="3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shd w:val="clear" w:color="auto" w:fill="auto"/>
          </w:tcPr>
          <w:p>
            <w:pPr>
              <w:widowControl/>
              <w:shd w:val="clear" w:color="auto"/>
              <w:spacing w:line="360" w:lineRule="auto"/>
              <w:rPr>
                <w:rFonts w:hint="eastAsia" w:eastAsia="宋体"/>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9.1 “三同时”执行情况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项目实施前进行了环境影响评价，项目在实施过程中基本执行了国家建设项目环境保护“三同时”制度。</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南昌赣华环保技术有限公司《谷邑丰年产1万吨预糊化、膨化、益生菌发酵谷物粉生产线迁建项目环境影响报告表》</w:t>
            </w:r>
            <w:r>
              <w:rPr>
                <w:color w:val="000000" w:themeColor="text1"/>
                <w:sz w:val="24"/>
                <w:szCs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宜春市丰城生态环境局《关于谷邑丰年产1万吨预糊化、膨化、益生菌发酵谷物粉生产线迁建项目环境影响报告表的批复》（</w:t>
            </w:r>
            <w:r>
              <w:rPr>
                <w:rFonts w:hint="eastAsia"/>
                <w:color w:val="000000" w:themeColor="text1"/>
                <w:sz w:val="24"/>
                <w:szCs w:val="24"/>
                <w:lang w:val="en-US" w:eastAsia="zh-CN"/>
                <w14:textFill>
                  <w14:solidFill>
                    <w14:schemeClr w14:val="tx1"/>
                  </w14:solidFill>
                </w14:textFill>
              </w:rPr>
              <w:t>丰环评字〔2021〕65号</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2</w:t>
            </w:r>
            <w:r>
              <w:rPr>
                <w:rFonts w:hint="eastAsia"/>
                <w:b/>
                <w:color w:val="000000" w:themeColor="text1"/>
                <w:kern w:val="0"/>
                <w:sz w:val="24"/>
                <w:szCs w:val="24"/>
                <w14:textFill>
                  <w14:solidFill>
                    <w14:schemeClr w14:val="tx1"/>
                  </w14:solidFill>
                </w14:textFill>
              </w:rPr>
              <w:t xml:space="preserve"> 环保设施调试运行效果</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13</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2024年1</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14</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江西全能力检测技术有限公司</w:t>
            </w:r>
            <w:r>
              <w:rPr>
                <w:rFonts w:hint="eastAsia"/>
                <w:color w:val="000000" w:themeColor="text1"/>
                <w:sz w:val="24"/>
                <w:szCs w:val="24"/>
                <w:highlight w:val="none"/>
                <w14:textFill>
                  <w14:solidFill>
                    <w14:schemeClr w14:val="tx1"/>
                  </w14:solidFill>
                </w14:textFill>
              </w:rPr>
              <w:t>对</w:t>
            </w:r>
            <w:r>
              <w:rPr>
                <w:rFonts w:hint="eastAsia"/>
                <w:color w:val="000000" w:themeColor="text1"/>
                <w:sz w:val="24"/>
                <w:szCs w:val="24"/>
                <w:highlight w:val="none"/>
                <w:lang w:eastAsia="zh-CN"/>
                <w14:textFill>
                  <w14:solidFill>
                    <w14:schemeClr w14:val="tx1"/>
                  </w14:solidFill>
                </w14:textFill>
              </w:rPr>
              <w:t>谷</w:t>
            </w:r>
            <w:r>
              <w:rPr>
                <w:rFonts w:hint="eastAsia"/>
                <w:color w:val="000000" w:themeColor="text1"/>
                <w:sz w:val="24"/>
                <w:szCs w:val="24"/>
                <w:lang w:eastAsia="zh-CN"/>
                <w14:textFill>
                  <w14:solidFill>
                    <w14:schemeClr w14:val="tx1"/>
                  </w14:solidFill>
                </w14:textFill>
              </w:rPr>
              <w:t>邑丰年产1万吨预糊化、膨化、益生菌发酵谷物粉生产线迁建项目</w:t>
            </w:r>
            <w:r>
              <w:rPr>
                <w:rFonts w:hint="eastAsia"/>
                <w:color w:val="000000" w:themeColor="text1"/>
                <w:sz w:val="24"/>
                <w:szCs w:val="24"/>
                <w:highlight w:val="none"/>
                <w14:textFill>
                  <w14:solidFill>
                    <w14:schemeClr w14:val="tx1"/>
                  </w14:solidFill>
                </w14:textFill>
              </w:rPr>
              <w:t>进行了现场检查和验收监测。</w:t>
            </w:r>
            <w:r>
              <w:rPr>
                <w:rFonts w:hint="eastAsia"/>
                <w:color w:val="000000" w:themeColor="text1"/>
                <w:sz w:val="24"/>
                <w:szCs w:val="24"/>
                <w14:textFill>
                  <w14:solidFill>
                    <w14:schemeClr w14:val="tx1"/>
                  </w14:solidFill>
                </w14:textFill>
              </w:rPr>
              <w:t>本次对项目污染源中废气、厂界噪声、废水进行了监测与检查，检查和监测结果表明：</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1、建设单位基本按照环评报告表的要求落实环保措施，环保制度得到一定的执行，但还需进一步落实各项环保措施、完善环境保护管理制度和加强环保设施运行管理。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、各类污染物排放均可达标。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（1）废水</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本次验收监测结果表明，生活污水</w:t>
            </w:r>
            <w:r>
              <w:rPr>
                <w:rFonts w:hint="eastAsia"/>
                <w:color w:val="000000" w:themeColor="text1"/>
                <w:sz w:val="24"/>
                <w:szCs w:val="24"/>
                <w:lang w:eastAsia="zh-CN"/>
                <w14:textFill>
                  <w14:solidFill>
                    <w14:schemeClr w14:val="tx1"/>
                  </w14:solidFill>
                </w14:textFill>
              </w:rPr>
              <w:t>和生产废水依托</w:t>
            </w:r>
            <w:r>
              <w:rPr>
                <w:rFonts w:hint="eastAsia" w:ascii="Times New Roman" w:hAnsi="Times New Roman" w:cs="Times New Roman"/>
                <w:color w:val="000000" w:themeColor="text1"/>
                <w:sz w:val="24"/>
                <w:szCs w:val="24"/>
                <w:lang w:val="en-US" w:eastAsia="zh-CN"/>
                <w14:textFill>
                  <w14:solidFill>
                    <w14:schemeClr w14:val="tx1"/>
                  </w14:solidFill>
                </w14:textFill>
              </w:rPr>
              <w:t>江西恒顶生物食品有限公司污水处理站</w:t>
            </w:r>
            <w:r>
              <w:rPr>
                <w:rFonts w:hint="eastAsia"/>
                <w:color w:val="000000" w:themeColor="text1"/>
                <w:sz w:val="24"/>
                <w:szCs w:val="24"/>
                <w14:textFill>
                  <w14:solidFill>
                    <w14:schemeClr w14:val="tx1"/>
                  </w14:solidFill>
                </w14:textFill>
              </w:rPr>
              <w:t>处理后，</w:t>
            </w:r>
            <w:r>
              <w:rPr>
                <w:rFonts w:hint="eastAsia"/>
                <w:color w:val="000000" w:themeColor="text1"/>
                <w:sz w:val="24"/>
                <w:szCs w:val="24"/>
                <w:lang w:val="en-US" w:eastAsia="zh-CN"/>
                <w14:textFill>
                  <w14:solidFill>
                    <w14:schemeClr w14:val="tx1"/>
                  </w14:solidFill>
                </w14:textFill>
              </w:rPr>
              <w:t>pH、</w:t>
            </w:r>
            <w:r>
              <w:rPr>
                <w:rFonts w:hint="eastAsia"/>
                <w:color w:val="000000" w:themeColor="text1"/>
                <w:sz w:val="24"/>
                <w:szCs w:val="24"/>
                <w14:textFill>
                  <w14:solidFill>
                    <w14:schemeClr w14:val="tx1"/>
                  </w14:solidFill>
                </w14:textFill>
              </w:rPr>
              <w:t>氨氮、</w:t>
            </w:r>
            <w:r>
              <w:rPr>
                <w:rFonts w:hint="eastAsia"/>
                <w:color w:val="000000" w:themeColor="text1"/>
                <w:sz w:val="24"/>
                <w:szCs w:val="24"/>
                <w:lang w:val="en-US" w:eastAsia="zh-CN"/>
                <w14:textFill>
                  <w14:solidFill>
                    <w14:schemeClr w14:val="tx1"/>
                  </w14:solidFill>
                </w14:textFill>
              </w:rPr>
              <w:t>CODcr、BOD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、SS、TN、</w:t>
            </w:r>
            <w:r>
              <w:rPr>
                <w:rFonts w:hint="eastAsia"/>
                <w:color w:val="000000" w:themeColor="text1"/>
                <w:sz w:val="24"/>
                <w:szCs w:val="24"/>
                <w14:textFill>
                  <w14:solidFill>
                    <w14:schemeClr w14:val="tx1"/>
                  </w14:solidFill>
                </w14:textFill>
              </w:rPr>
              <w:t>TP</w:t>
            </w:r>
            <w:r>
              <w:rPr>
                <w:rFonts w:hint="eastAsia"/>
                <w:color w:val="000000" w:themeColor="text1"/>
                <w:sz w:val="24"/>
                <w:szCs w:val="24"/>
                <w:lang w:eastAsia="zh-CN"/>
                <w14:textFill>
                  <w14:solidFill>
                    <w14:schemeClr w14:val="tx1"/>
                  </w14:solidFill>
                </w14:textFill>
              </w:rPr>
              <w:t>、动植物油</w:t>
            </w:r>
            <w:r>
              <w:rPr>
                <w:rFonts w:hint="eastAsia"/>
                <w:color w:val="000000" w:themeColor="text1"/>
                <w:sz w:val="24"/>
                <w:szCs w:val="24"/>
                <w14:textFill>
                  <w14:solidFill>
                    <w14:schemeClr w14:val="tx1"/>
                  </w14:solidFill>
                </w14:textFill>
              </w:rPr>
              <w:t>水质可以达到</w:t>
            </w:r>
            <w:r>
              <w:rPr>
                <w:rFonts w:hint="default" w:ascii="Times New Roman"/>
                <w:color w:val="000000" w:themeColor="text1"/>
                <w:sz w:val="24"/>
                <w:szCs w:val="24"/>
                <w14:textFill>
                  <w14:solidFill>
                    <w14:schemeClr w14:val="tx1"/>
                  </w14:solidFill>
                </w14:textFill>
              </w:rPr>
              <w:t>江西丰城高新技术产业园区污水处理厂</w:t>
            </w:r>
            <w:r>
              <w:rPr>
                <w:rFonts w:hint="eastAsia"/>
                <w:color w:val="000000" w:themeColor="text1"/>
                <w:sz w:val="24"/>
                <w:szCs w:val="24"/>
                <w14:textFill>
                  <w14:solidFill>
                    <w14:schemeClr w14:val="tx1"/>
                  </w14:solidFill>
                </w14:textFill>
              </w:rPr>
              <w:t>接管标准，</w:t>
            </w:r>
            <w:r>
              <w:rPr>
                <w:rFonts w:hint="default" w:ascii="Times New Roman"/>
                <w:color w:val="000000" w:themeColor="text1"/>
                <w:sz w:val="24"/>
                <w:szCs w:val="24"/>
                <w14:textFill>
                  <w14:solidFill>
                    <w14:schemeClr w14:val="tx1"/>
                  </w14:solidFill>
                </w14:textFill>
              </w:rPr>
              <w:t>不会对江西丰城高新技术产业园区污水处理厂负荷和处理工艺产生影响。</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气</w:t>
            </w:r>
          </w:p>
          <w:p>
            <w:pPr>
              <w:pStyle w:val="7"/>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both"/>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w:t>
            </w:r>
            <w:r>
              <w:rPr>
                <w:rFonts w:hint="eastAsia"/>
                <w:color w:val="000000" w:themeColor="text1"/>
                <w:sz w:val="24"/>
                <w:szCs w:val="24"/>
                <w:lang w:eastAsia="zh-CN"/>
                <w14:textFill>
                  <w14:solidFill>
                    <w14:schemeClr w14:val="tx1"/>
                  </w14:solidFill>
                </w14:textFill>
              </w:rPr>
              <w:t>有组织废气。</w:t>
            </w:r>
            <w:r>
              <w:rPr>
                <w:color w:val="000000" w:themeColor="text1"/>
                <w:sz w:val="24"/>
                <w:szCs w:val="24"/>
                <w14:textFill>
                  <w14:solidFill>
                    <w14:schemeClr w14:val="tx1"/>
                  </w14:solidFill>
                </w14:textFill>
              </w:rPr>
              <w:t>主要是一次粉碎、二次粉粹工序产生的颗粒物，</w:t>
            </w:r>
            <w:r>
              <w:rPr>
                <w:rFonts w:hint="default" w:ascii="Times New Roman" w:hAnsi="Times New Roman" w:cs="Times New Roman"/>
                <w:color w:val="000000" w:themeColor="text1"/>
                <w:sz w:val="24"/>
                <w:szCs w:val="24"/>
                <w14:textFill>
                  <w14:solidFill>
                    <w14:schemeClr w14:val="tx1"/>
                  </w14:solidFill>
                </w14:textFill>
              </w:rPr>
              <w:t>颗粒物经集气罩+布袋除尘器+15m高排气筒排放（一次粉碎、二次粉粹共用一套环保设备）</w:t>
            </w:r>
            <w:r>
              <w:rPr>
                <w:rFonts w:hint="eastAsia" w:ascii="Times New Roman" w:hAnsi="Times New Roman" w:cs="Times New Roman"/>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干燥、膨化工序产生的水蒸气全部蒸发。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食堂工作时产生的油烟经油烟净化器处理后，引至屋顶排放（DA0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。颗粒物</w:t>
            </w:r>
            <w:r>
              <w:rPr>
                <w:rFonts w:hint="eastAsia" w:cs="Times New Roman"/>
                <w:color w:val="000000" w:themeColor="text1"/>
                <w:kern w:val="0"/>
                <w:sz w:val="24"/>
                <w:szCs w:val="24"/>
                <w:lang w:val="en-US" w:eastAsia="zh-CN" w:bidi="ar"/>
                <w14:textFill>
                  <w14:solidFill>
                    <w14:schemeClr w14:val="tx1"/>
                  </w14:solidFill>
                </w14:textFill>
              </w:rPr>
              <w:t>排放浓度达到</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《大气污染物综合排放标准》（GB16297-1996）中表2颗粒物（其他）二级标准限值要求及无组织排放监控浓度限值要求；食堂油烟</w:t>
            </w:r>
            <w:r>
              <w:rPr>
                <w:rFonts w:hint="eastAsia" w:cs="Times New Roman"/>
                <w:color w:val="000000" w:themeColor="text1"/>
                <w:kern w:val="0"/>
                <w:sz w:val="24"/>
                <w:szCs w:val="24"/>
                <w:lang w:val="en-US" w:eastAsia="zh-CN" w:bidi="ar"/>
                <w14:textFill>
                  <w14:solidFill>
                    <w14:schemeClr w14:val="tx1"/>
                  </w14:solidFill>
                </w14:textFill>
              </w:rPr>
              <w:t>排放浓度达到</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《饮食业油烟排放标准》(GB18483-2001)中“小型”标准。</w:t>
            </w:r>
          </w:p>
          <w:p>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无组织废气：</w:t>
            </w:r>
            <w:r>
              <w:rPr>
                <w:rFonts w:hint="eastAsia"/>
                <w:color w:val="000000" w:themeColor="text1"/>
                <w:sz w:val="24"/>
                <w:szCs w:val="24"/>
                <w:lang w:eastAsia="zh-CN"/>
                <w14:textFill>
                  <w14:solidFill>
                    <w14:schemeClr w14:val="tx1"/>
                  </w14:solidFill>
                </w14:textFill>
              </w:rPr>
              <w:t>未收集的无组织颗粒物采取的措施为车间密闭。厂界无组织排放监控点浓度限值达到《大气污染物综合排放标准》(GB16297-1996)表2中标准要求。</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（3）厂界</w:t>
            </w:r>
            <w:r>
              <w:rPr>
                <w:color w:val="000000" w:themeColor="text1"/>
                <w:sz w:val="24"/>
                <w:szCs w:val="24"/>
                <w14:textFill>
                  <w14:solidFill>
                    <w14:schemeClr w14:val="tx1"/>
                  </w14:solidFill>
                </w14:textFill>
              </w:rPr>
              <w:t>噪声</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本次验收监测结果表明，项目厂界四周噪声昼间、夜间测量值均满足</w:t>
            </w:r>
            <w:r>
              <w:rPr>
                <w:rFonts w:hint="eastAsia"/>
                <w:color w:val="000000" w:themeColor="text1"/>
                <w:sz w:val="24"/>
                <w:szCs w:val="24"/>
                <w:lang w:eastAsia="zh-CN"/>
                <w14:textFill>
                  <w14:solidFill>
                    <w14:schemeClr w14:val="tx1"/>
                  </w14:solidFill>
                </w14:textFill>
              </w:rPr>
              <w:t>。厂界噪声达到《工业企业厂界环境噪声排放标准》(GB12348-2008)中3类标准。</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3</w:t>
            </w:r>
            <w:r>
              <w:rPr>
                <w:rFonts w:hint="eastAsia"/>
                <w:b/>
                <w:color w:val="000000" w:themeColor="text1"/>
                <w:kern w:val="0"/>
                <w:sz w:val="24"/>
                <w:szCs w:val="24"/>
                <w14:textFill>
                  <w14:solidFill>
                    <w14:schemeClr w14:val="tx1"/>
                  </w14:solidFill>
                </w14:textFill>
              </w:rPr>
              <w:t xml:space="preserve"> 环保标识牌管理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建设</w:t>
            </w:r>
            <w:r>
              <w:rPr>
                <w:color w:val="000000" w:themeColor="text1"/>
                <w:sz w:val="24"/>
                <w:szCs w:val="24"/>
                <w14:textFill>
                  <w14:solidFill>
                    <w14:schemeClr w14:val="tx1"/>
                  </w14:solidFill>
                </w14:textFill>
              </w:rPr>
              <w:t>前进行了环境影响评价，项目在</w:t>
            </w:r>
            <w:r>
              <w:rPr>
                <w:rFonts w:hint="eastAsia"/>
                <w:color w:val="000000" w:themeColor="text1"/>
                <w:sz w:val="24"/>
                <w:szCs w:val="24"/>
                <w14:textFill>
                  <w14:solidFill>
                    <w14:schemeClr w14:val="tx1"/>
                  </w14:solidFill>
                </w14:textFill>
              </w:rPr>
              <w:t>运营期间按照</w:t>
            </w:r>
            <w:r>
              <w:rPr>
                <w:color w:val="000000" w:themeColor="text1"/>
                <w:sz w:val="24"/>
                <w:szCs w:val="24"/>
                <w14:textFill>
                  <w14:solidFill>
                    <w14:schemeClr w14:val="tx1"/>
                  </w14:solidFill>
                </w14:textFill>
              </w:rPr>
              <w:t>国家</w:t>
            </w:r>
            <w:r>
              <w:rPr>
                <w:rFonts w:hint="eastAsia"/>
                <w:color w:val="000000" w:themeColor="text1"/>
                <w:sz w:val="24"/>
                <w:szCs w:val="24"/>
                <w14:textFill>
                  <w14:solidFill>
                    <w14:schemeClr w14:val="tx1"/>
                  </w14:solidFill>
                </w14:textFill>
              </w:rPr>
              <w:t>环保部门</w:t>
            </w:r>
            <w:r>
              <w:rPr>
                <w:color w:val="000000" w:themeColor="text1"/>
                <w:sz w:val="24"/>
                <w:szCs w:val="24"/>
                <w14:textFill>
                  <w14:solidFill>
                    <w14:schemeClr w14:val="tx1"/>
                  </w14:solidFill>
                </w14:textFill>
              </w:rPr>
              <w:t>要求，对污染物排放和存放点均设置了环保标识牌。</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表9-1 项目</w:t>
            </w:r>
            <w:r>
              <w:rPr>
                <w:rFonts w:hint="eastAsia"/>
                <w:b/>
                <w:bCs/>
                <w:color w:val="000000" w:themeColor="text1"/>
                <w:szCs w:val="21"/>
                <w14:textFill>
                  <w14:solidFill>
                    <w14:schemeClr w14:val="tx1"/>
                  </w14:solidFill>
                </w14:textFill>
              </w:rPr>
              <w:t>污染物排放口环保</w:t>
            </w:r>
            <w:r>
              <w:rPr>
                <w:b/>
                <w:bCs/>
                <w:color w:val="000000" w:themeColor="text1"/>
                <w:szCs w:val="21"/>
                <w14:textFill>
                  <w14:solidFill>
                    <w14:schemeClr w14:val="tx1"/>
                  </w14:solidFill>
                </w14:textFill>
              </w:rPr>
              <w:t>标识牌管理</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6"/>
              <w:gridCol w:w="44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908300" cy="2844165"/>
                        <wp:effectExtent l="0" t="0" r="2540" b="5715"/>
                        <wp:docPr id="3" name="图片 3" descr="48fd7dab5b5452d7e775a27fa754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fd7dab5b5452d7e775a27fa754a9c"/>
                                <pic:cNvPicPr>
                                  <a:picLocks noChangeAspect="1"/>
                                </pic:cNvPicPr>
                              </pic:nvPicPr>
                              <pic:blipFill>
                                <a:blip r:embed="rId18"/>
                                <a:srcRect l="21269" r="21193"/>
                                <a:stretch>
                                  <a:fillRect/>
                                </a:stretch>
                              </pic:blipFill>
                              <pic:spPr>
                                <a:xfrm>
                                  <a:off x="0" y="0"/>
                                  <a:ext cx="2908300" cy="2844165"/>
                                </a:xfrm>
                                <a:prstGeom prst="rect">
                                  <a:avLst/>
                                </a:prstGeom>
                              </pic:spPr>
                            </pic:pic>
                          </a:graphicData>
                        </a:graphic>
                      </wp:inline>
                    </w:drawing>
                  </w:r>
                </w:p>
              </w:tc>
              <w:tc>
                <w:tcPr>
                  <w:tcW w:w="2444" w:type="pct"/>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811145" cy="2510790"/>
                        <wp:effectExtent l="0" t="0" r="8255" b="3810"/>
                        <wp:docPr id="10" name="图片 10" descr="f6fc34778eca727450b0462dba3e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fc34778eca727450b0462dba3e091"/>
                                <pic:cNvPicPr>
                                  <a:picLocks noChangeAspect="1"/>
                                </pic:cNvPicPr>
                              </pic:nvPicPr>
                              <pic:blipFill>
                                <a:blip r:embed="rId19"/>
                                <a:srcRect l="13283" r="2693"/>
                                <a:stretch>
                                  <a:fillRect/>
                                </a:stretch>
                              </pic:blipFill>
                              <pic:spPr>
                                <a:xfrm>
                                  <a:off x="0" y="0"/>
                                  <a:ext cx="2811145" cy="251079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废水排放口</w:t>
                  </w:r>
                </w:p>
              </w:tc>
              <w:tc>
                <w:tcPr>
                  <w:tcW w:w="2444" w:type="pct"/>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DA001</w:t>
                  </w:r>
                  <w:r>
                    <w:rPr>
                      <w:rFonts w:ascii="Times New Roman" w:hAnsi="Times New Roman" w:cs="Times New Roman"/>
                      <w:color w:val="000000" w:themeColor="text1"/>
                      <w:kern w:val="0"/>
                      <w:sz w:val="18"/>
                      <w:szCs w:val="18"/>
                      <w14:textFill>
                        <w14:solidFill>
                          <w14:schemeClr w14:val="tx1"/>
                        </w14:solidFill>
                      </w14:textFill>
                    </w:rPr>
                    <w:t>废气排放口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2863850" cy="3213735"/>
                        <wp:effectExtent l="0" t="0" r="0" b="0"/>
                        <wp:docPr id="5" name="图片 5" descr="cf493c257f76c398f2471fd93d47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f493c257f76c398f2471fd93d47e4d"/>
                                <pic:cNvPicPr>
                                  <a:picLocks noChangeAspect="1"/>
                                </pic:cNvPicPr>
                              </pic:nvPicPr>
                              <pic:blipFill>
                                <a:blip r:embed="rId20"/>
                                <a:srcRect t="17124" b="19756"/>
                                <a:stretch>
                                  <a:fillRect/>
                                </a:stretch>
                              </pic:blipFill>
                              <pic:spPr>
                                <a:xfrm>
                                  <a:off x="0" y="0"/>
                                  <a:ext cx="2863850" cy="3213735"/>
                                </a:xfrm>
                                <a:prstGeom prst="rect">
                                  <a:avLst/>
                                </a:prstGeom>
                              </pic:spPr>
                            </pic:pic>
                          </a:graphicData>
                        </a:graphic>
                      </wp:inline>
                    </w:drawing>
                  </w:r>
                </w:p>
              </w:tc>
              <w:tc>
                <w:tcPr>
                  <w:tcW w:w="2444"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653030" cy="3169920"/>
                        <wp:effectExtent l="0" t="0" r="0" b="0"/>
                        <wp:docPr id="6" name="图片 6" descr="c9b915ed07996f094e2f34bd55d4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9b915ed07996f094e2f34bd55d4afb"/>
                                <pic:cNvPicPr>
                                  <a:picLocks noChangeAspect="1"/>
                                </pic:cNvPicPr>
                              </pic:nvPicPr>
                              <pic:blipFill>
                                <a:blip r:embed="rId21"/>
                                <a:srcRect t="-449" b="10842"/>
                                <a:stretch>
                                  <a:fillRect/>
                                </a:stretch>
                              </pic:blipFill>
                              <pic:spPr>
                                <a:xfrm>
                                  <a:off x="0" y="0"/>
                                  <a:ext cx="2653030" cy="316992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噪声排放源</w:t>
                  </w:r>
                </w:p>
              </w:tc>
              <w:tc>
                <w:tcPr>
                  <w:tcW w:w="2444"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一般固废暂存间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01620" cy="2661285"/>
                        <wp:effectExtent l="0" t="0" r="0" b="0"/>
                        <wp:docPr id="1" name="图片 1" descr="干燥排气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干燥排气管"/>
                                <pic:cNvPicPr>
                                  <a:picLocks noChangeAspect="1"/>
                                </pic:cNvPicPr>
                              </pic:nvPicPr>
                              <pic:blipFill>
                                <a:blip r:embed="rId22"/>
                                <a:srcRect t="10301" b="18460"/>
                                <a:stretch>
                                  <a:fillRect/>
                                </a:stretch>
                              </pic:blipFill>
                              <pic:spPr>
                                <a:xfrm>
                                  <a:off x="0" y="0"/>
                                  <a:ext cx="2801620" cy="2661285"/>
                                </a:xfrm>
                                <a:prstGeom prst="rect">
                                  <a:avLst/>
                                </a:prstGeom>
                              </pic:spPr>
                            </pic:pic>
                          </a:graphicData>
                        </a:graphic>
                      </wp:inline>
                    </w:drawing>
                  </w:r>
                </w:p>
              </w:tc>
              <w:tc>
                <w:tcPr>
                  <w:tcW w:w="2444" w:type="pct"/>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2820670" cy="2607945"/>
                        <wp:effectExtent l="0" t="0" r="13970" b="13335"/>
                        <wp:docPr id="2" name="图片 2" descr="db9ed402a6d9df83b7ae50aaf87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b9ed402a6d9df83b7ae50aaf875068"/>
                                <pic:cNvPicPr>
                                  <a:picLocks noChangeAspect="1"/>
                                </pic:cNvPicPr>
                              </pic:nvPicPr>
                              <pic:blipFill>
                                <a:blip r:embed="rId23"/>
                                <a:srcRect l="18872"/>
                                <a:stretch>
                                  <a:fillRect/>
                                </a:stretch>
                              </pic:blipFill>
                              <pic:spPr>
                                <a:xfrm>
                                  <a:off x="0" y="0"/>
                                  <a:ext cx="2820670" cy="260794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干燥排气筒</w:t>
                  </w:r>
                </w:p>
              </w:tc>
              <w:tc>
                <w:tcPr>
                  <w:tcW w:w="2444" w:type="pct"/>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化粪池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7" w:hRule="atLeast"/>
                <w:jc w:val="center"/>
              </w:trPr>
              <w:tc>
                <w:tcPr>
                  <w:tcW w:w="2555"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98140" cy="3053080"/>
                        <wp:effectExtent l="0" t="0" r="12700" b="10160"/>
                        <wp:docPr id="7" name="图片 7" descr="65dacaa68ac63fbbccd6a6b864a7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dacaa68ac63fbbccd6a6b864a7cbc"/>
                                <pic:cNvPicPr>
                                  <a:picLocks noChangeAspect="1"/>
                                </pic:cNvPicPr>
                              </pic:nvPicPr>
                              <pic:blipFill>
                                <a:blip r:embed="rId24"/>
                                <a:srcRect l="2981" t="7850" r="31800" b="588"/>
                                <a:stretch>
                                  <a:fillRect/>
                                </a:stretch>
                              </pic:blipFill>
                              <pic:spPr>
                                <a:xfrm>
                                  <a:off x="0" y="0"/>
                                  <a:ext cx="2898140" cy="3053080"/>
                                </a:xfrm>
                                <a:prstGeom prst="rect">
                                  <a:avLst/>
                                </a:prstGeom>
                              </pic:spPr>
                            </pic:pic>
                          </a:graphicData>
                        </a:graphic>
                      </wp:inline>
                    </w:drawing>
                  </w:r>
                </w:p>
              </w:tc>
              <w:tc>
                <w:tcPr>
                  <w:tcW w:w="2444" w:type="pct"/>
                  <w:vAlign w:val="center"/>
                </w:tcPr>
                <w:p>
                  <w:pPr>
                    <w:jc w:val="center"/>
                    <w:rPr>
                      <w:rFonts w:hint="eastAsia"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drawing>
                      <wp:inline distT="0" distB="0" distL="114300" distR="114300">
                        <wp:extent cx="2653030" cy="3096895"/>
                        <wp:effectExtent l="0" t="0" r="0" b="0"/>
                        <wp:docPr id="9" name="图片 9" descr="9ee9ba15c3aa46d5e1c82112c8b4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ee9ba15c3aa46d5e1c82112c8b421a"/>
                                <pic:cNvPicPr>
                                  <a:picLocks noChangeAspect="1"/>
                                </pic:cNvPicPr>
                              </pic:nvPicPr>
                              <pic:blipFill>
                                <a:blip r:embed="rId25"/>
                                <a:srcRect t="12457"/>
                                <a:stretch>
                                  <a:fillRect/>
                                </a:stretch>
                              </pic:blipFill>
                              <pic:spPr>
                                <a:xfrm>
                                  <a:off x="0" y="0"/>
                                  <a:ext cx="2653030" cy="309689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55" w:type="pct"/>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风机</w:t>
                  </w:r>
                </w:p>
              </w:tc>
              <w:tc>
                <w:tcPr>
                  <w:tcW w:w="2444" w:type="pct"/>
                  <w:vAlign w:val="center"/>
                </w:tcPr>
                <w:p>
                  <w:pPr>
                    <w:jc w:val="center"/>
                    <w:rPr>
                      <w:rFonts w:hint="eastAsia"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布袋除尘器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jc w:val="center"/>
                    <w:rPr>
                      <w:rFonts w:hint="eastAsia"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769870" cy="3750310"/>
                        <wp:effectExtent l="0" t="0" r="0" b="0"/>
                        <wp:docPr id="8" name="图片 8" descr="e3f650af06664d0816ee275349ff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f650af06664d0816ee275349ff2f2"/>
                                <pic:cNvPicPr>
                                  <a:picLocks noChangeAspect="1"/>
                                </pic:cNvPicPr>
                              </pic:nvPicPr>
                              <pic:blipFill>
                                <a:blip r:embed="rId26"/>
                                <a:srcRect t="-1547"/>
                                <a:stretch>
                                  <a:fillRect/>
                                </a:stretch>
                              </pic:blipFill>
                              <pic:spPr>
                                <a:xfrm>
                                  <a:off x="0" y="0"/>
                                  <a:ext cx="2769870" cy="375031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pPr>
                    <w:jc w:val="center"/>
                    <w:rPr>
                      <w:rFonts w:hint="eastAsia"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油烟净化器</w:t>
                  </w:r>
                </w:p>
              </w:tc>
            </w:tr>
          </w:tbl>
          <w:p>
            <w:pPr>
              <w:widowControl/>
              <w:spacing w:line="360" w:lineRule="auto"/>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9.4</w:t>
            </w:r>
            <w:r>
              <w:rPr>
                <w:rFonts w:hint="eastAsia" w:ascii="Times New Roman" w:hAnsi="Times New Roman" w:eastAsia="宋体" w:cs="Times New Roman"/>
                <w:b/>
                <w:color w:val="000000" w:themeColor="text1"/>
                <w:kern w:val="0"/>
                <w:sz w:val="24"/>
                <w:szCs w:val="24"/>
                <w14:textFill>
                  <w14:solidFill>
                    <w14:schemeClr w14:val="tx1"/>
                  </w14:solidFill>
                </w14:textFill>
              </w:rPr>
              <w:t>验收结论</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项目</w:t>
            </w:r>
            <w:r>
              <w:rPr>
                <w:rFonts w:hint="eastAsia"/>
                <w:b w:val="0"/>
                <w:bCs/>
                <w:color w:val="000000" w:themeColor="text1"/>
                <w:kern w:val="0"/>
                <w:sz w:val="24"/>
                <w:szCs w:val="24"/>
                <w14:textFill>
                  <w14:solidFill>
                    <w14:schemeClr w14:val="tx1"/>
                  </w14:solidFill>
                </w14:textFill>
              </w:rPr>
              <w:t>验收监测期间，该工程外排的废水、废气、厂界噪声均符合相应标准限值的要求，固体废物得到妥善处理，落实了环评批复的要求。环保措施可行，项目建设至今未接到污染投诉。</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本项目达到了建设项目竣工环境保护验收的要求，具备申请竣工环境保护验收的条件，建议通过项目竣工环境保护验收。</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lang w:val="en-US" w:eastAsia="zh-CN"/>
                <w14:textFill>
                  <w14:solidFill>
                    <w14:schemeClr w14:val="tx1"/>
                  </w14:solidFill>
                </w14:textFill>
              </w:rPr>
              <w:t>9.5</w:t>
            </w:r>
            <w:r>
              <w:rPr>
                <w:b/>
                <w:color w:val="000000" w:themeColor="text1"/>
                <w:kern w:val="0"/>
                <w:sz w:val="24"/>
                <w:szCs w:val="24"/>
                <w14:textFill>
                  <w14:solidFill>
                    <w14:schemeClr w14:val="tx1"/>
                  </w14:solidFill>
                </w14:textFill>
              </w:rPr>
              <w:t>建议</w:t>
            </w:r>
            <w:r>
              <w:rPr>
                <w:rFonts w:hint="eastAsia"/>
                <w:b/>
                <w:color w:val="000000" w:themeColor="text1"/>
                <w:kern w:val="0"/>
                <w:sz w:val="24"/>
                <w:szCs w:val="24"/>
                <w14:textFill>
                  <w14:solidFill>
                    <w14:schemeClr w14:val="tx1"/>
                  </w14:solidFill>
                </w14:textFill>
              </w:rPr>
              <w:t>：</w:t>
            </w:r>
          </w:p>
          <w:p>
            <w:pPr>
              <w:numPr>
                <w:ilvl w:val="0"/>
                <w:numId w:val="0"/>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eastAsia" w:eastAsia="宋体"/>
                <w:color w:val="000000" w:themeColor="text1"/>
                <w:kern w:val="0"/>
                <w:sz w:val="24"/>
                <w:szCs w:val="24"/>
                <w:lang w:eastAsia="zh-CN"/>
                <w14:textFill>
                  <w14:solidFill>
                    <w14:schemeClr w14:val="tx1"/>
                  </w14:solidFill>
                </w14:textFill>
              </w:rPr>
              <w:t>加强生产管理，健全治理设施台账，做好环评和批复要求的各项环保设施的维护检修及正常运行。</w:t>
            </w:r>
          </w:p>
          <w:p>
            <w:pPr>
              <w:numPr>
                <w:ilvl w:val="0"/>
                <w:numId w:val="0"/>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w:t>
            </w:r>
            <w:r>
              <w:rPr>
                <w:rFonts w:hint="eastAsia" w:eastAsia="宋体"/>
                <w:color w:val="000000" w:themeColor="text1"/>
                <w:kern w:val="0"/>
                <w:sz w:val="24"/>
                <w:szCs w:val="24"/>
                <w:lang w:eastAsia="zh-CN"/>
                <w14:textFill>
                  <w14:solidFill>
                    <w14:schemeClr w14:val="tx1"/>
                  </w14:solidFill>
                </w14:textFill>
              </w:rPr>
              <w:t>严格执行环保“三同时”制度，定期对各类环保设施进行检修维护，确保各类污染物长期稳定达标排放，并作好长效环境保护管理工作。</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3</w:t>
            </w:r>
            <w:r>
              <w:rPr>
                <w:rFonts w:hint="eastAsia" w:eastAsia="宋体"/>
                <w:color w:val="000000" w:themeColor="text1"/>
                <w:kern w:val="0"/>
                <w:sz w:val="24"/>
                <w:szCs w:val="24"/>
                <w:lang w:eastAsia="zh-CN"/>
                <w14:textFill>
                  <w14:solidFill>
                    <w14:schemeClr w14:val="tx1"/>
                  </w14:solidFill>
                </w14:textFill>
              </w:rPr>
              <w:t>、根据现场踏勘发现，一般固体废物堆放较散乱，建议企业对生活垃圾进行集中堆放，定期清理，防止对周边环境产生污染。</w:t>
            </w:r>
          </w:p>
          <w:p>
            <w:pPr>
              <w:adjustRightInd w:val="0"/>
              <w:snapToGrid w:val="0"/>
              <w:spacing w:line="360" w:lineRule="auto"/>
              <w:ind w:firstLine="480" w:firstLineChars="200"/>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w:t>
            </w:r>
            <w:r>
              <w:rPr>
                <w:rFonts w:hint="eastAsia" w:eastAsia="宋体"/>
                <w:color w:val="000000" w:themeColor="text1"/>
                <w:kern w:val="0"/>
                <w:sz w:val="24"/>
                <w:szCs w:val="24"/>
                <w:lang w:eastAsia="zh-CN"/>
                <w14:textFill>
                  <w14:solidFill>
                    <w14:schemeClr w14:val="tx1"/>
                  </w14:solidFill>
                </w14:textFill>
              </w:rPr>
              <w:t>、对员工进行经常性的环保教育和培训，提高员工的环保意识和操作技能。</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5</w:t>
            </w:r>
            <w:r>
              <w:rPr>
                <w:rFonts w:hint="eastAsia" w:eastAsia="宋体"/>
                <w:color w:val="000000" w:themeColor="text1"/>
                <w:kern w:val="0"/>
                <w:sz w:val="24"/>
                <w:szCs w:val="24"/>
                <w:lang w:eastAsia="zh-CN"/>
                <w14:textFill>
                  <w14:solidFill>
                    <w14:schemeClr w14:val="tx1"/>
                  </w14:solidFill>
                </w14:textFill>
              </w:rPr>
              <w:t>、定期开展环境风险应急演练，防止突发性环境风险事故发生。</w:t>
            </w:r>
          </w:p>
        </w:tc>
      </w:tr>
    </w:tbl>
    <w:p>
      <w:pPr>
        <w:ind w:firstLine="360" w:firstLineChars="200"/>
        <w:rPr>
          <w:color w:val="000000" w:themeColor="text1"/>
          <w:sz w:val="18"/>
          <w:szCs w:val="18"/>
          <w14:textFill>
            <w14:solidFill>
              <w14:schemeClr w14:val="tx1"/>
            </w14:solidFill>
          </w14:textFill>
        </w:rPr>
      </w:pPr>
    </w:p>
    <w:p>
      <w:pPr>
        <w:tabs>
          <w:tab w:val="left" w:pos="502"/>
        </w:tabs>
        <w:rPr>
          <w:color w:val="000000" w:themeColor="text1"/>
          <w:sz w:val="18"/>
          <w:szCs w:val="18"/>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r>
        <w:rPr>
          <w:color w:val="000000" w:themeColor="text1"/>
          <w:sz w:val="18"/>
          <w:szCs w:val="18"/>
          <w14:textFill>
            <w14:solidFill>
              <w14:schemeClr w14:val="tx1"/>
            </w14:solidFill>
          </w14:textFill>
        </w:rPr>
        <w:tab/>
      </w:r>
    </w:p>
    <w:p>
      <w:pPr>
        <w:pStyle w:val="5"/>
        <w:rPr>
          <w:color w:val="000000" w:themeColor="text1"/>
          <w14:textFill>
            <w14:solidFill>
              <w14:schemeClr w14:val="tx1"/>
            </w14:solidFill>
          </w14:textFill>
        </w:rPr>
      </w:pPr>
      <w:bookmarkStart w:id="12" w:name="_Toc523906064"/>
      <w:bookmarkStart w:id="13" w:name="_Toc523739623"/>
      <w:r>
        <w:rPr>
          <w:rFonts w:hint="eastAsia"/>
          <w:color w:val="000000" w:themeColor="text1"/>
          <w14:textFill>
            <w14:solidFill>
              <w14:schemeClr w14:val="tx1"/>
            </w14:solidFill>
          </w14:textFill>
        </w:rPr>
        <w:t>附表</w:t>
      </w:r>
    </w:p>
    <w:p>
      <w:pPr>
        <w:pStyle w:val="5"/>
        <w:keepNext w:val="0"/>
        <w:adjustRightInd w:val="0"/>
        <w:snapToGrid w:val="0"/>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建设项目竣工环境保护“三同时”验收登记表</w:t>
      </w:r>
      <w:bookmarkEnd w:id="12"/>
      <w:bookmarkEnd w:id="13"/>
    </w:p>
    <w:p>
      <w:pPr>
        <w:widowControl/>
        <w:spacing w:line="360" w:lineRule="exact"/>
        <w:rPr>
          <w:color w:val="000000" w:themeColor="text1"/>
          <w:szCs w:val="21"/>
          <w14:textFill>
            <w14:solidFill>
              <w14:schemeClr w14:val="tx1"/>
            </w14:solidFill>
          </w14:textFill>
        </w:rPr>
      </w:pPr>
      <w:r>
        <w:rPr>
          <w:b/>
          <w:color w:val="000000" w:themeColor="text1"/>
          <w:szCs w:val="21"/>
          <w14:textFill>
            <w14:solidFill>
              <w14:schemeClr w14:val="tx1"/>
            </w14:solidFill>
          </w14:textFill>
        </w:rPr>
        <w:t>填表单位(盖章):</w:t>
      </w:r>
      <w:r>
        <w:rPr>
          <w:rFonts w:hint="eastAsia"/>
          <w:b/>
          <w:color w:val="000000" w:themeColor="text1"/>
          <w:szCs w:val="21"/>
          <w14:textFill>
            <w14:solidFill>
              <w14:schemeClr w14:val="tx1"/>
            </w14:solidFill>
          </w14:textFill>
        </w:rPr>
        <w:t>江西谷邑丰食品科技有限公司</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填表人</w:t>
      </w:r>
      <w:r>
        <w:rPr>
          <w:color w:val="000000" w:themeColor="text1"/>
          <w:szCs w:val="21"/>
          <w14:textFill>
            <w14:solidFill>
              <w14:schemeClr w14:val="tx1"/>
            </w14:solidFill>
          </w14:textFill>
        </w:rPr>
        <w:t>(签字)</w:t>
      </w:r>
      <w:r>
        <w:rPr>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项目经办</w:t>
      </w:r>
      <w:r>
        <w:rPr>
          <w:color w:val="000000" w:themeColor="text1"/>
          <w:szCs w:val="21"/>
          <w14:textFill>
            <w14:solidFill>
              <w14:schemeClr w14:val="tx1"/>
            </w14:solidFill>
          </w14:textFill>
        </w:rPr>
        <w:t>人(签字):</w:t>
      </w:r>
    </w:p>
    <w:tbl>
      <w:tblPr>
        <w:tblStyle w:val="3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1"/>
        <w:gridCol w:w="132"/>
        <w:gridCol w:w="888"/>
        <w:gridCol w:w="586"/>
        <w:gridCol w:w="486"/>
        <w:gridCol w:w="1211"/>
        <w:gridCol w:w="960"/>
        <w:gridCol w:w="714"/>
        <w:gridCol w:w="322"/>
        <w:gridCol w:w="601"/>
        <w:gridCol w:w="1183"/>
        <w:gridCol w:w="412"/>
        <w:gridCol w:w="274"/>
        <w:gridCol w:w="2157"/>
        <w:gridCol w:w="878"/>
        <w:gridCol w:w="502"/>
        <w:gridCol w:w="565"/>
        <w:gridCol w:w="350"/>
        <w:gridCol w:w="652"/>
        <w:gridCol w:w="8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restart"/>
            <w:tcMar>
              <w:left w:w="57" w:type="dxa"/>
              <w:right w:w="57" w:type="dxa"/>
            </w:tcMar>
            <w:textDirection w:val="tbRlV"/>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建设项目</w:t>
            </w:r>
          </w:p>
        </w:tc>
        <w:tc>
          <w:tcPr>
            <w:tcW w:w="569" w:type="pct"/>
            <w:gridSpan w:val="3"/>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项目名称</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谷邑丰年产1万吨预糊化、膨化、益生菌发酵谷物粉生产线迁建项目</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项目代码</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2105-360981-04-01-654228</w:t>
            </w:r>
          </w:p>
        </w:tc>
        <w:tc>
          <w:tcPr>
            <w:tcW w:w="488"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建设地点</w:t>
            </w:r>
          </w:p>
        </w:tc>
        <w:tc>
          <w:tcPr>
            <w:tcW w:w="866" w:type="pct"/>
            <w:gridSpan w:val="4"/>
            <w:tcMar>
              <w:left w:w="57" w:type="dxa"/>
              <w:right w:w="57" w:type="dxa"/>
            </w:tcMar>
            <w:vAlign w:val="center"/>
          </w:tcPr>
          <w:p>
            <w:pPr>
              <w:adjustRightInd w:val="0"/>
              <w:snapToGrid w:val="0"/>
              <w:ind w:right="-105" w:rightChars="-50"/>
              <w:jc w:val="both"/>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江西省宜春市丰城市高新技术产业园火炬四路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行业类别</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（分类管理名录）</w:t>
            </w:r>
          </w:p>
        </w:tc>
        <w:tc>
          <w:tcPr>
            <w:tcW w:w="1521"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default" w:eastAsiaTheme="minorEastAsia"/>
                <w:color w:val="000000" w:themeColor="text1"/>
                <w:sz w:val="18"/>
                <w:szCs w:val="18"/>
                <w:lang w:val="en-US" w:eastAsia="zh-CN"/>
                <w14:textFill>
                  <w14:solidFill>
                    <w14:schemeClr w14:val="tx1"/>
                  </w14:solidFill>
                </w14:textFill>
              </w:rPr>
              <w:t>十一、食品制造，24.其他食品制造-盐加工；营养食品制造、保健食品制造、冷冻饮品及食用冰制造、无发酵工艺的食品及饲料添加剂制造、其他未列明食品制造</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建设性质</w:t>
            </w:r>
          </w:p>
        </w:tc>
        <w:tc>
          <w:tcPr>
            <w:tcW w:w="1350"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√新建</w:t>
            </w:r>
            <w:r>
              <w:rPr>
                <w:rFonts w:hint="eastAsia" w:eastAsiaTheme="minorEastAsia"/>
                <w:b/>
                <w:color w:val="000000" w:themeColor="text1"/>
                <w:sz w:val="18"/>
                <w:szCs w:val="18"/>
                <w:lang w:eastAsia="zh-CN"/>
                <w14:textFill>
                  <w14:solidFill>
                    <w14:schemeClr w14:val="tx1"/>
                  </w14:solidFill>
                </w14:textFill>
              </w:rPr>
              <w:t>（迁建</w:t>
            </w:r>
            <w:bookmarkStart w:id="14" w:name="_GoBack"/>
            <w:bookmarkEnd w:id="14"/>
            <w:r>
              <w:rPr>
                <w:rFonts w:hint="eastAsia" w:eastAsiaTheme="minorEastAsia"/>
                <w:b/>
                <w:color w:val="000000" w:themeColor="text1"/>
                <w:sz w:val="18"/>
                <w:szCs w:val="18"/>
                <w:lang w:eastAsia="zh-CN"/>
                <w14:textFill>
                  <w14:solidFill>
                    <w14:schemeClr w14:val="tx1"/>
                  </w14:solidFill>
                </w14:textFill>
              </w:rPr>
              <w:t>）</w:t>
            </w:r>
            <w:r>
              <w:rPr>
                <w:rFonts w:eastAsiaTheme="minorEastAsia"/>
                <w:b/>
                <w:color w:val="000000" w:themeColor="text1"/>
                <w:sz w:val="18"/>
                <w:szCs w:val="18"/>
                <w14:textFill>
                  <w14:solidFill>
                    <w14:schemeClr w14:val="tx1"/>
                  </w14:solidFill>
                </w14:textFill>
              </w:rPr>
              <w:t xml:space="preserve">  □ 改扩建  □技术改造</w:t>
            </w:r>
          </w:p>
        </w:tc>
        <w:tc>
          <w:tcPr>
            <w:tcW w:w="324" w:type="pct"/>
            <w:gridSpan w:val="2"/>
            <w:tcMar>
              <w:left w:w="57" w:type="dxa"/>
              <w:right w:w="57" w:type="dxa"/>
            </w:tcMa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项目厂区中心经度/纬度</w:t>
            </w:r>
          </w:p>
        </w:tc>
        <w:tc>
          <w:tcPr>
            <w:tcW w:w="542"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E11</w:t>
            </w:r>
            <w:r>
              <w:rPr>
                <w:rFonts w:hint="eastAsia" w:cs="Times New Roman" w:eastAsiaTheme="minorEastAsia"/>
                <w:color w:val="000000" w:themeColor="text1"/>
                <w:sz w:val="18"/>
                <w:szCs w:val="18"/>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44</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20.588</w:t>
            </w:r>
            <w:r>
              <w:rPr>
                <w:rFonts w:hint="default" w:ascii="Times New Roman" w:hAnsi="Times New Roman" w:cs="Times New Roman" w:eastAsiaTheme="minorEastAsia"/>
                <w:color w:val="000000" w:themeColor="text1"/>
                <w:sz w:val="18"/>
                <w:szCs w:val="18"/>
                <w14:textFill>
                  <w14:solidFill>
                    <w14:schemeClr w14:val="tx1"/>
                  </w14:solidFill>
                </w14:textFill>
              </w:rPr>
              <w:t>″，N28°</w:t>
            </w:r>
            <w:r>
              <w:rPr>
                <w:rFonts w:hint="eastAsia" w:cs="Times New Roman" w:eastAsiaTheme="minorEastAsia"/>
                <w:color w:val="000000" w:themeColor="text1"/>
                <w:sz w:val="18"/>
                <w:szCs w:val="18"/>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47.57186</w:t>
            </w:r>
            <w:r>
              <w:rPr>
                <w:rFonts w:hint="default" w:ascii="Times New Roman" w:hAnsi="Times New Roman" w:cs="Times New Roman" w:eastAsiaTheme="minorEastAsia"/>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设计</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年产1万吨预糊化、膨化、益生菌发酵谷物粉</w:t>
            </w:r>
          </w:p>
        </w:tc>
        <w:tc>
          <w:tcPr>
            <w:tcW w:w="565"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861" w:type="pct"/>
            <w:gridSpan w:val="2"/>
            <w:tcMar>
              <w:left w:w="57" w:type="dxa"/>
              <w:right w:w="57" w:type="dxa"/>
            </w:tcMar>
            <w:vAlign w:val="center"/>
          </w:tcPr>
          <w:p>
            <w:pPr>
              <w:adjustRightInd w:val="0"/>
              <w:snapToGrid w:val="0"/>
              <w:ind w:left="-105" w:leftChars="-50" w:right="-105" w:rightChars="-5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年产1万吨预糊化、膨化、益生菌发酵谷物粉</w:t>
            </w:r>
          </w:p>
        </w:tc>
        <w:tc>
          <w:tcPr>
            <w:tcW w:w="488"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环评单位</w:t>
            </w:r>
          </w:p>
        </w:tc>
        <w:tc>
          <w:tcPr>
            <w:tcW w:w="866"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南昌赣华环保技术有限公司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环评文件审批机关</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宜春市丰城生态环境局</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审批文号</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（丰</w:t>
            </w:r>
            <w:r>
              <w:rPr>
                <w:rFonts w:hint="eastAsia" w:eastAsiaTheme="minorEastAsia"/>
                <w:color w:val="000000" w:themeColor="text1"/>
                <w:sz w:val="18"/>
                <w:szCs w:val="18"/>
                <w:lang w:val="en-US" w:eastAsia="zh-CN"/>
                <w14:textFill>
                  <w14:solidFill>
                    <w14:schemeClr w14:val="tx1"/>
                  </w14:solidFill>
                </w14:textFill>
              </w:rPr>
              <w:t>环评字〔2021〕65号</w:t>
            </w:r>
            <w:r>
              <w:rPr>
                <w:rFonts w:hint="eastAsia" w:eastAsiaTheme="minorEastAsia"/>
                <w:color w:val="000000" w:themeColor="text1"/>
                <w:sz w:val="18"/>
                <w:szCs w:val="18"/>
                <w:lang w:eastAsia="zh-CN"/>
                <w14:textFill>
                  <w14:solidFill>
                    <w14:schemeClr w14:val="tx1"/>
                  </w14:solidFill>
                </w14:textFill>
              </w:rPr>
              <w:t>）</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环评文件类型</w:t>
            </w:r>
          </w:p>
        </w:tc>
        <w:tc>
          <w:tcPr>
            <w:tcW w:w="866"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开工日期</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1</w:t>
            </w:r>
            <w:r>
              <w:rPr>
                <w:rFonts w:hint="eastAsia" w:eastAsiaTheme="minorEastAsia"/>
                <w:color w:val="000000" w:themeColor="text1"/>
                <w:sz w:val="18"/>
                <w:szCs w:val="18"/>
                <w:lang w:eastAsia="zh-CN"/>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8</w:t>
            </w:r>
            <w:r>
              <w:rPr>
                <w:rFonts w:hint="eastAsia" w:eastAsiaTheme="minorEastAsia"/>
                <w:color w:val="000000" w:themeColor="text1"/>
                <w:sz w:val="18"/>
                <w:szCs w:val="18"/>
                <w:lang w:eastAsia="zh-CN"/>
                <w14:textFill>
                  <w14:solidFill>
                    <w14:schemeClr w14:val="tx1"/>
                  </w14:solidFill>
                </w14:textFill>
              </w:rPr>
              <w:t>月</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竣工日期</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1</w:t>
            </w:r>
            <w:r>
              <w:rPr>
                <w:rFonts w:hint="eastAsia" w:eastAsiaTheme="minorEastAsia"/>
                <w:color w:val="000000" w:themeColor="text1"/>
                <w:sz w:val="18"/>
                <w:szCs w:val="18"/>
                <w:lang w:eastAsia="zh-CN"/>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8</w:t>
            </w:r>
            <w:r>
              <w:rPr>
                <w:rFonts w:hint="eastAsia" w:eastAsiaTheme="minorEastAsia"/>
                <w:color w:val="000000" w:themeColor="text1"/>
                <w:sz w:val="18"/>
                <w:szCs w:val="18"/>
                <w:lang w:eastAsia="zh-CN"/>
                <w14:textFill>
                  <w14:solidFill>
                    <w14:schemeClr w14:val="tx1"/>
                  </w14:solidFill>
                </w14:textFill>
              </w:rPr>
              <w:t>月</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申领时间</w:t>
            </w:r>
          </w:p>
        </w:tc>
        <w:tc>
          <w:tcPr>
            <w:tcW w:w="866"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2023年10月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环保设施设计单位</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环保设施施工单位</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本工程</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排污许可证编号</w:t>
            </w:r>
          </w:p>
        </w:tc>
        <w:tc>
          <w:tcPr>
            <w:tcW w:w="866"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91360981MA38M9XT1R001Y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验收单位</w:t>
            </w:r>
          </w:p>
        </w:tc>
        <w:tc>
          <w:tcPr>
            <w:tcW w:w="1521" w:type="pct"/>
            <w:gridSpan w:val="6"/>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江西谷邑丰食品科技有限公司</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环保设施监测单位</w:t>
            </w:r>
          </w:p>
        </w:tc>
        <w:tc>
          <w:tcPr>
            <w:tcW w:w="861" w:type="pct"/>
            <w:gridSpan w:val="2"/>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江西全能力检测技术有限公司</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验收监测时工况</w:t>
            </w:r>
          </w:p>
        </w:tc>
        <w:tc>
          <w:tcPr>
            <w:tcW w:w="866"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投资总概算（万元）</w:t>
            </w:r>
          </w:p>
        </w:tc>
        <w:tc>
          <w:tcPr>
            <w:tcW w:w="1521"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12000</w:t>
            </w:r>
          </w:p>
        </w:tc>
        <w:tc>
          <w:tcPr>
            <w:tcW w:w="565" w:type="pct"/>
            <w:gridSpan w:val="2"/>
            <w:tcMar>
              <w:left w:w="57" w:type="dxa"/>
              <w:right w:w="57" w:type="dxa"/>
            </w:tcMar>
            <w:vAlign w:val="center"/>
          </w:tcPr>
          <w:p>
            <w:pPr>
              <w:tabs>
                <w:tab w:val="left" w:pos="690"/>
              </w:tabs>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环保投资</w:t>
            </w:r>
          </w:p>
          <w:p>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总概算（万元）</w:t>
            </w:r>
          </w:p>
        </w:tc>
        <w:tc>
          <w:tcPr>
            <w:tcW w:w="86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34</w:t>
            </w:r>
          </w:p>
        </w:tc>
        <w:tc>
          <w:tcPr>
            <w:tcW w:w="488" w:type="pct"/>
            <w:gridSpan w:val="2"/>
            <w:tcMar>
              <w:left w:w="57" w:type="dxa"/>
              <w:right w:w="57" w:type="dxa"/>
            </w:tcMar>
            <w:vAlign w:val="center"/>
          </w:tcPr>
          <w:p>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66"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0.28</w:t>
            </w:r>
            <w:r>
              <w:rPr>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实际总投资（万元）</w:t>
            </w:r>
          </w:p>
        </w:tc>
        <w:tc>
          <w:tcPr>
            <w:tcW w:w="1521" w:type="pct"/>
            <w:gridSpan w:val="6"/>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12000</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实际环保投资（万元）</w:t>
            </w:r>
          </w:p>
        </w:tc>
        <w:tc>
          <w:tcPr>
            <w:tcW w:w="861" w:type="pct"/>
            <w:gridSpan w:val="2"/>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34</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66" w:type="pct"/>
            <w:gridSpan w:val="4"/>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0.28</w:t>
            </w:r>
            <w:r>
              <w:rPr>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废水治理（万元）</w:t>
            </w:r>
          </w:p>
        </w:tc>
        <w:tc>
          <w:tcPr>
            <w:tcW w:w="172"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20</w:t>
            </w:r>
          </w:p>
        </w:tc>
        <w:tc>
          <w:tcPr>
            <w:tcW w:w="429"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废气治理（万元）</w:t>
            </w:r>
          </w:p>
        </w:tc>
        <w:tc>
          <w:tcPr>
            <w:tcW w:w="340"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10</w:t>
            </w:r>
          </w:p>
        </w:tc>
        <w:tc>
          <w:tcPr>
            <w:tcW w:w="36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噪声治理</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（万元）</w:t>
            </w:r>
          </w:p>
        </w:tc>
        <w:tc>
          <w:tcPr>
            <w:tcW w:w="211" w:type="pct"/>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w:t>
            </w:r>
          </w:p>
        </w:tc>
        <w:tc>
          <w:tcPr>
            <w:tcW w:w="565" w:type="pct"/>
            <w:gridSpan w:val="2"/>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固体废物治理（万元）</w:t>
            </w:r>
          </w:p>
        </w:tc>
        <w:tc>
          <w:tcPr>
            <w:tcW w:w="861" w:type="pct"/>
            <w:gridSpan w:val="2"/>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2</w:t>
            </w:r>
          </w:p>
        </w:tc>
        <w:tc>
          <w:tcPr>
            <w:tcW w:w="488" w:type="pct"/>
            <w:gridSpan w:val="2"/>
            <w:tcMar>
              <w:left w:w="57" w:type="dxa"/>
              <w:right w:w="57" w:type="dxa"/>
            </w:tcMar>
            <w:vAlign w:val="center"/>
          </w:tcPr>
          <w:p>
            <w:pPr>
              <w:adjustRightInd w:val="0"/>
              <w:snapToGrid w:val="0"/>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绿化及生态（万元）</w:t>
            </w:r>
          </w:p>
        </w:tc>
        <w:tc>
          <w:tcPr>
            <w:tcW w:w="200"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35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其他（万元）</w:t>
            </w:r>
          </w:p>
        </w:tc>
        <w:tc>
          <w:tcPr>
            <w:tcW w:w="311" w:type="pct"/>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新增废水处理设施能力</w:t>
            </w:r>
          </w:p>
        </w:tc>
        <w:tc>
          <w:tcPr>
            <w:tcW w:w="1521" w:type="pct"/>
            <w:gridSpan w:val="6"/>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56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新增废气</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处理设施能力</w:t>
            </w:r>
          </w:p>
        </w:tc>
        <w:tc>
          <w:tcPr>
            <w:tcW w:w="861"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488"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年平均工作时</w:t>
            </w:r>
          </w:p>
        </w:tc>
        <w:tc>
          <w:tcPr>
            <w:tcW w:w="866"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7200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97" w:type="pct"/>
            <w:gridSpan w:val="4"/>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w:t>
            </w:r>
          </w:p>
        </w:tc>
        <w:tc>
          <w:tcPr>
            <w:tcW w:w="1194" w:type="pct"/>
            <w:gridSpan w:val="4"/>
            <w:tcMar>
              <w:left w:w="57" w:type="dxa"/>
              <w:right w:w="57" w:type="dxa"/>
            </w:tcMar>
            <w:vAlign w:val="center"/>
          </w:tcPr>
          <w:p>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江西谷邑丰食品科技有限公司</w:t>
            </w:r>
          </w:p>
        </w:tc>
        <w:tc>
          <w:tcPr>
            <w:tcW w:w="989" w:type="pct"/>
            <w:gridSpan w:val="5"/>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运营单位社会统一信用代码</w:t>
            </w:r>
          </w:p>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（或组织机构代码）</w:t>
            </w:r>
          </w:p>
        </w:tc>
        <w:tc>
          <w:tcPr>
            <w:tcW w:w="764" w:type="pct"/>
            <w:tcMar>
              <w:left w:w="57" w:type="dxa"/>
              <w:right w:w="57" w:type="dxa"/>
            </w:tcMar>
            <w:vAlign w:val="center"/>
          </w:tcPr>
          <w:p>
            <w:pPr>
              <w:adjustRightInd w:val="0"/>
              <w:snapToGrid w:val="0"/>
              <w:ind w:left="-105" w:leftChars="-50" w:right="-105" w:rightChars="-5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91360981MA38M9XT1R</w:t>
            </w:r>
          </w:p>
        </w:tc>
        <w:tc>
          <w:tcPr>
            <w:tcW w:w="48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验收时间</w:t>
            </w:r>
          </w:p>
        </w:tc>
        <w:tc>
          <w:tcPr>
            <w:tcW w:w="866" w:type="pct"/>
            <w:gridSpan w:val="4"/>
            <w:tcMar>
              <w:left w:w="57" w:type="dxa"/>
              <w:right w:w="57" w:type="dxa"/>
            </w:tcMar>
            <w:vAlign w:val="center"/>
          </w:tcPr>
          <w:p>
            <w:pPr>
              <w:adjustRightInd w:val="0"/>
              <w:snapToGrid w:val="0"/>
              <w:jc w:val="center"/>
              <w:rPr>
                <w:rFonts w:hint="default" w:eastAsiaTheme="minorEastAsia"/>
                <w:color w:val="000000" w:themeColor="text1"/>
                <w:sz w:val="18"/>
                <w:szCs w:val="18"/>
                <w:highlight w:val="yellow"/>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2024.01.13~2024.01.14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restart"/>
            <w:tcMar>
              <w:left w:w="57" w:type="dxa"/>
              <w:right w:w="57" w:type="dxa"/>
            </w:tcMar>
            <w:vAlign w:val="center"/>
          </w:tcPr>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污染</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物排</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放达</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标与</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总量</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控制（工</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业建</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设项</w:t>
            </w:r>
          </w:p>
          <w:p>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目详填）</w:t>
            </w:r>
          </w:p>
        </w:tc>
        <w:tc>
          <w:tcPr>
            <w:tcW w:w="522"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污染物</w:t>
            </w:r>
          </w:p>
        </w:tc>
        <w:tc>
          <w:tcPr>
            <w:tcW w:w="172"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原有排放量(1)</w:t>
            </w:r>
          </w:p>
        </w:tc>
        <w:tc>
          <w:tcPr>
            <w:tcW w:w="429"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本期工程实际排放浓度(2)</w:t>
            </w:r>
          </w:p>
        </w:tc>
        <w:tc>
          <w:tcPr>
            <w:tcW w:w="340"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本期工程允许排放浓度(3)</w:t>
            </w:r>
          </w:p>
        </w:tc>
        <w:tc>
          <w:tcPr>
            <w:tcW w:w="251"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本期工程产生量(4)</w:t>
            </w:r>
          </w:p>
        </w:tc>
        <w:tc>
          <w:tcPr>
            <w:tcW w:w="327"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本期工程自身削减量(5)</w:t>
            </w:r>
          </w:p>
        </w:tc>
        <w:tc>
          <w:tcPr>
            <w:tcW w:w="419"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w:t>
            </w:r>
          </w:p>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实际排放量(6)</w:t>
            </w:r>
          </w:p>
        </w:tc>
        <w:tc>
          <w:tcPr>
            <w:tcW w:w="243"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本期工程核定排放总量(7)</w:t>
            </w:r>
          </w:p>
        </w:tc>
        <w:tc>
          <w:tcPr>
            <w:tcW w:w="764"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本期工程“以新带老”削减量(8)</w:t>
            </w:r>
          </w:p>
        </w:tc>
        <w:tc>
          <w:tcPr>
            <w:tcW w:w="311"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全厂实际排放总量(9)</w:t>
            </w:r>
          </w:p>
        </w:tc>
        <w:tc>
          <w:tcPr>
            <w:tcW w:w="378"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全厂核定排放总量(10)</w:t>
            </w:r>
          </w:p>
        </w:tc>
        <w:tc>
          <w:tcPr>
            <w:tcW w:w="355"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区域平衡替代削减量(11)</w:t>
            </w:r>
          </w:p>
        </w:tc>
        <w:tc>
          <w:tcPr>
            <w:tcW w:w="311" w:type="pct"/>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hint="eastAsia" w:eastAsiaTheme="minorEastAsia"/>
                <w:b/>
                <w:color w:val="000000" w:themeColor="text1"/>
                <w:sz w:val="18"/>
                <w:szCs w:val="18"/>
                <w:lang w:eastAsia="zh-CN"/>
                <w14:textFill>
                  <w14:solidFill>
                    <w14:schemeClr w14:val="tx1"/>
                  </w14:solidFill>
                </w14:textFill>
              </w:rPr>
            </w:pPr>
            <w:r>
              <w:rPr>
                <w:rFonts w:hint="eastAsia" w:eastAsiaTheme="minorEastAsia"/>
                <w:b/>
                <w:color w:val="000000" w:themeColor="text1"/>
                <w:sz w:val="18"/>
                <w:szCs w:val="18"/>
                <w:lang w:eastAsia="zh-CN"/>
                <w14:textFill>
                  <w14:solidFill>
                    <w14:schemeClr w14:val="tx1"/>
                  </w14:solidFill>
                </w14:textFill>
              </w:rPr>
              <w:t>非甲烷总烃</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40"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1" w:type="pct"/>
            <w:shd w:val="clear" w:color="auto" w:fill="auto"/>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7"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3"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4"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78"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5"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hint="eastAsia" w:eastAsiaTheme="minorEastAsia"/>
                <w:b/>
                <w:color w:val="000000" w:themeColor="text1"/>
                <w:sz w:val="18"/>
                <w:szCs w:val="18"/>
                <w14:textFill>
                  <w14:solidFill>
                    <w14:schemeClr w14:val="tx1"/>
                  </w14:solidFill>
                </w14:textFill>
              </w:rPr>
              <w:t>CODcr</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206.5</w:t>
            </w:r>
          </w:p>
        </w:tc>
        <w:tc>
          <w:tcPr>
            <w:tcW w:w="340"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500</w:t>
            </w:r>
          </w:p>
        </w:tc>
        <w:tc>
          <w:tcPr>
            <w:tcW w:w="251" w:type="pct"/>
            <w:shd w:val="clear" w:color="auto" w:fill="auto"/>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7"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1.21</w:t>
            </w:r>
          </w:p>
        </w:tc>
        <w:tc>
          <w:tcPr>
            <w:tcW w:w="243"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2.49</w:t>
            </w:r>
          </w:p>
        </w:tc>
        <w:tc>
          <w:tcPr>
            <w:tcW w:w="764"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1.21</w:t>
            </w:r>
          </w:p>
        </w:tc>
        <w:tc>
          <w:tcPr>
            <w:tcW w:w="378"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2.49</w:t>
            </w:r>
          </w:p>
        </w:tc>
        <w:tc>
          <w:tcPr>
            <w:tcW w:w="355"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hint="eastAsia" w:eastAsiaTheme="minorEastAsia"/>
                <w:b/>
                <w:color w:val="000000" w:themeColor="text1"/>
                <w:sz w:val="18"/>
                <w:szCs w:val="18"/>
                <w14:textFill>
                  <w14:solidFill>
                    <w14:schemeClr w14:val="tx1"/>
                  </w14:solidFill>
                </w14:textFill>
              </w:rPr>
              <w:t>氨氮</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6.35</w:t>
            </w:r>
          </w:p>
        </w:tc>
        <w:tc>
          <w:tcPr>
            <w:tcW w:w="340"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45</w:t>
            </w:r>
          </w:p>
        </w:tc>
        <w:tc>
          <w:tcPr>
            <w:tcW w:w="251" w:type="pct"/>
            <w:shd w:val="clear" w:color="auto" w:fill="auto"/>
            <w:tcMar>
              <w:left w:w="57" w:type="dxa"/>
              <w:right w:w="57" w:type="dxa"/>
            </w:tcMar>
            <w:vAlign w:val="center"/>
          </w:tcPr>
          <w:p>
            <w:pPr>
              <w:adjustRightInd w:val="0"/>
              <w:snapToGrid w:val="0"/>
              <w:jc w:val="center"/>
              <w:rPr>
                <w:rFonts w:hint="eastAsia" w:eastAsiaTheme="minorEastAsia"/>
                <w:color w:val="000000" w:themeColor="text1"/>
                <w:sz w:val="18"/>
                <w:szCs w:val="18"/>
                <w:highlight w:val="none"/>
                <w:lang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7"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9"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0.037</w:t>
            </w:r>
          </w:p>
        </w:tc>
        <w:tc>
          <w:tcPr>
            <w:tcW w:w="243"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0.175</w:t>
            </w:r>
          </w:p>
        </w:tc>
        <w:tc>
          <w:tcPr>
            <w:tcW w:w="764"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0.037</w:t>
            </w:r>
          </w:p>
        </w:tc>
        <w:tc>
          <w:tcPr>
            <w:tcW w:w="378" w:type="pct"/>
            <w:gridSpan w:val="2"/>
            <w:shd w:val="clear" w:color="auto" w:fill="auto"/>
            <w:tcMar>
              <w:left w:w="57" w:type="dxa"/>
              <w:right w:w="57" w:type="dxa"/>
            </w:tcMar>
            <w:vAlign w:val="center"/>
          </w:tcPr>
          <w:p>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0.175</w:t>
            </w:r>
          </w:p>
        </w:tc>
        <w:tc>
          <w:tcPr>
            <w:tcW w:w="355"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5" w:type="pct"/>
            <w:vMerge w:val="restart"/>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与项目有关的其他特征污染物</w:t>
            </w: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40"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51"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27"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19"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243"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764"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78"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55" w:type="pct"/>
            <w:gridSpan w:val="2"/>
            <w:shd w:val="clear" w:color="auto" w:fill="auto"/>
            <w:tcMar>
              <w:left w:w="57" w:type="dxa"/>
              <w:right w:w="57" w:type="dxa"/>
            </w:tcMar>
            <w:vAlign w:val="center"/>
          </w:tcPr>
          <w:p>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5" w:type="pct"/>
            <w:vMerge w:val="continue"/>
            <w:tcMar>
              <w:left w:w="57" w:type="dxa"/>
              <w:right w:w="57" w:type="dxa"/>
            </w:tcMar>
          </w:tcPr>
          <w:p>
            <w:pPr>
              <w:adjustRightInd w:val="0"/>
              <w:snapToGrid w:val="0"/>
              <w:rPr>
                <w:rFonts w:eastAsiaTheme="minorEastAsia"/>
                <w:b/>
                <w:color w:val="000000" w:themeColor="text1"/>
                <w:sz w:val="18"/>
                <w:szCs w:val="18"/>
                <w14:textFill>
                  <w14:solidFill>
                    <w14:schemeClr w14:val="tx1"/>
                  </w14:solidFill>
                </w14:textFill>
              </w:rPr>
            </w:pP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40"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25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2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19"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243"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764"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78"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55"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pPr>
              <w:adjustRightInd w:val="0"/>
              <w:snapToGrid w:val="0"/>
              <w:rPr>
                <w:rFonts w:eastAsiaTheme="minorEastAsia"/>
                <w:color w:val="000000" w:themeColor="text1"/>
                <w:sz w:val="18"/>
                <w:szCs w:val="18"/>
                <w14:textFill>
                  <w14:solidFill>
                    <w14:schemeClr w14:val="tx1"/>
                  </w14:solidFill>
                </w14:textFill>
              </w:rPr>
            </w:pPr>
          </w:p>
        </w:tc>
        <w:tc>
          <w:tcPr>
            <w:tcW w:w="315" w:type="pct"/>
            <w:vMerge w:val="continue"/>
            <w:tcMar>
              <w:left w:w="57" w:type="dxa"/>
              <w:right w:w="57" w:type="dxa"/>
            </w:tcMar>
          </w:tcPr>
          <w:p>
            <w:pPr>
              <w:adjustRightInd w:val="0"/>
              <w:snapToGrid w:val="0"/>
              <w:rPr>
                <w:rFonts w:eastAsiaTheme="minorEastAsia"/>
                <w:b/>
                <w:color w:val="000000" w:themeColor="text1"/>
                <w:sz w:val="18"/>
                <w:szCs w:val="18"/>
                <w14:textFill>
                  <w14:solidFill>
                    <w14:schemeClr w14:val="tx1"/>
                  </w14:solidFill>
                </w14:textFill>
              </w:rPr>
            </w:pPr>
          </w:p>
        </w:tc>
        <w:tc>
          <w:tcPr>
            <w:tcW w:w="206"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172"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29"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40"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25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27"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419"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243"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764"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78"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55" w:type="pct"/>
            <w:gridSpan w:val="2"/>
            <w:tcMar>
              <w:left w:w="57" w:type="dxa"/>
              <w:right w:w="57" w:type="dxa"/>
            </w:tcMar>
            <w:vAlign w:val="center"/>
          </w:tcPr>
          <w:p>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311" w:type="pct"/>
            <w:tcMar>
              <w:left w:w="57" w:type="dxa"/>
              <w:right w:w="57" w:type="dxa"/>
            </w:tcMar>
            <w:vAlign w:val="center"/>
          </w:tcPr>
          <w:p>
            <w:pPr>
              <w:adjustRightInd w:val="0"/>
              <w:snapToGrid w:val="0"/>
              <w:jc w:val="center"/>
              <w:rPr>
                <w:rFonts w:hint="eastAsia"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bl>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1、排放增减量：（+）表示增加，（-）表示减少；2、（12）=（6）-（8）-（11），（9）=（4）-（5）-（8）-（11）+（1）；3、计量单位：废水排放量——吨/年；废气排放量——万标立方米/年；工业固体废物排放量——吨/年；水污染物排放浓度——毫克/升；大气污染物排放浓度——毫克/立方米；水污染物排放量——吨/年；大气污染物排放量——吨/年。</w:t>
      </w:r>
    </w:p>
    <w:p>
      <w:pPr>
        <w:widowControl/>
        <w:jc w:val="left"/>
        <w:rPr>
          <w:b/>
          <w:color w:val="000000" w:themeColor="text1"/>
          <w:sz w:val="24"/>
          <w:szCs w:val="24"/>
          <w14:textFill>
            <w14:solidFill>
              <w14:schemeClr w14:val="tx1"/>
            </w14:solidFill>
          </w14:textFill>
        </w:rPr>
      </w:pPr>
    </w:p>
    <w:p>
      <w:pPr>
        <w:pStyle w:val="9"/>
        <w:rPr>
          <w:color w:val="000000" w:themeColor="text1"/>
          <w14:textFill>
            <w14:solidFill>
              <w14:schemeClr w14:val="tx1"/>
            </w14:solidFill>
          </w14:textFill>
        </w:rPr>
      </w:pPr>
    </w:p>
    <w:p>
      <w:pPr>
        <w:rPr>
          <w:color w:val="000000" w:themeColor="text1"/>
          <w14:textFill>
            <w14:solidFill>
              <w14:schemeClr w14:val="tx1"/>
            </w14:solidFill>
          </w14:textFill>
        </w:rPr>
      </w:pPr>
    </w:p>
    <w:sectPr>
      <w:headerReference r:id="rId7" w:type="default"/>
      <w:footerReference r:id="rId8" w:type="default"/>
      <w:pgSz w:w="16840" w:h="11907" w:orient="landscape"/>
      <w:pgMar w:top="1417" w:right="1417" w:bottom="1247" w:left="1417" w:header="851" w:footer="442" w:gutter="0"/>
      <w:pgBorders>
        <w:top w:val="none" w:sz="0" w:space="0"/>
        <w:left w:val="none" w:sz="0" w:space="0"/>
        <w:bottom w:val="none" w:sz="0" w:space="0"/>
        <w:right w:val="none" w:sz="0" w:space="0"/>
      </w:pgBorders>
      <w:cols w:space="0" w:num="1"/>
      <w:docGrid w:type="linesAndChars" w:linePitch="318" w:charSpace="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spacing w:line="0" w:lineRule="atLeast"/>
      <w:ind w:righ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5"/>
      </w:rPr>
    </w:pPr>
    <w:r>
      <w:fldChar w:fldCharType="begin"/>
    </w:r>
    <w:r>
      <w:rPr>
        <w:rStyle w:val="35"/>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adjustRightInd w:val="0"/>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5</w:t>
    </w:r>
    <w:r>
      <w:rPr>
        <w:kern w:val="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spacing w:line="0" w:lineRule="atLeast"/>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29</w:t>
    </w:r>
    <w:r>
      <w:rPr>
        <w:kern w:val="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right="9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6BDC12"/>
    <w:multiLevelType w:val="singleLevel"/>
    <w:tmpl w:val="D96BDC12"/>
    <w:lvl w:ilvl="0" w:tentative="0">
      <w:start w:val="1"/>
      <w:numFmt w:val="decimal"/>
      <w:pStyle w:val="112"/>
      <w:suff w:val="nothing"/>
      <w:lvlText w:val="表1-%1"/>
      <w:lvlJc w:val="center"/>
      <w:pPr>
        <w:tabs>
          <w:tab w:val="left" w:pos="0"/>
        </w:tabs>
        <w:ind w:left="0" w:firstLine="0"/>
      </w:pPr>
      <w:rPr>
        <w:rFonts w:hint="default"/>
        <w:b/>
        <w:bCs/>
        <w:sz w:val="18"/>
        <w:szCs w:val="18"/>
      </w:rPr>
    </w:lvl>
  </w:abstractNum>
  <w:abstractNum w:abstractNumId="1">
    <w:nsid w:val="F70CE018"/>
    <w:multiLevelType w:val="singleLevel"/>
    <w:tmpl w:val="F70CE018"/>
    <w:lvl w:ilvl="0" w:tentative="0">
      <w:start w:val="2"/>
      <w:numFmt w:val="decimal"/>
      <w:suff w:val="nothing"/>
      <w:lvlText w:val="（%1）"/>
      <w:lvlJc w:val="left"/>
    </w:lvl>
  </w:abstractNum>
  <w:abstractNum w:abstractNumId="2">
    <w:nsid w:val="5156216A"/>
    <w:multiLevelType w:val="singleLevel"/>
    <w:tmpl w:val="5156216A"/>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3MTE0OWNiMmYxMWViNjljNGQ0NDA2MTI0NDhmMmUifQ=="/>
  </w:docVars>
  <w:rsids>
    <w:rsidRoot w:val="00172A27"/>
    <w:rsid w:val="0000012D"/>
    <w:rsid w:val="00000A75"/>
    <w:rsid w:val="00000D94"/>
    <w:rsid w:val="0000158B"/>
    <w:rsid w:val="000019DD"/>
    <w:rsid w:val="00001B4D"/>
    <w:rsid w:val="00001FBE"/>
    <w:rsid w:val="000024E0"/>
    <w:rsid w:val="00002C72"/>
    <w:rsid w:val="0000348E"/>
    <w:rsid w:val="0000387E"/>
    <w:rsid w:val="000038E3"/>
    <w:rsid w:val="00003983"/>
    <w:rsid w:val="00004360"/>
    <w:rsid w:val="00005363"/>
    <w:rsid w:val="000053F2"/>
    <w:rsid w:val="000059C4"/>
    <w:rsid w:val="00005FCA"/>
    <w:rsid w:val="000071AD"/>
    <w:rsid w:val="000078FB"/>
    <w:rsid w:val="0001025C"/>
    <w:rsid w:val="000104BD"/>
    <w:rsid w:val="00010755"/>
    <w:rsid w:val="00010A9F"/>
    <w:rsid w:val="00010C96"/>
    <w:rsid w:val="00010D2B"/>
    <w:rsid w:val="00011604"/>
    <w:rsid w:val="00011973"/>
    <w:rsid w:val="00012405"/>
    <w:rsid w:val="0001254B"/>
    <w:rsid w:val="00012AF0"/>
    <w:rsid w:val="000131E9"/>
    <w:rsid w:val="00013784"/>
    <w:rsid w:val="00013FAF"/>
    <w:rsid w:val="0001421B"/>
    <w:rsid w:val="00015A1B"/>
    <w:rsid w:val="00015B07"/>
    <w:rsid w:val="00015EDD"/>
    <w:rsid w:val="00016787"/>
    <w:rsid w:val="00016956"/>
    <w:rsid w:val="00016BFA"/>
    <w:rsid w:val="00016D2F"/>
    <w:rsid w:val="00016D76"/>
    <w:rsid w:val="0001711B"/>
    <w:rsid w:val="00017329"/>
    <w:rsid w:val="00017835"/>
    <w:rsid w:val="00017932"/>
    <w:rsid w:val="00017C04"/>
    <w:rsid w:val="00020875"/>
    <w:rsid w:val="00021745"/>
    <w:rsid w:val="0002184E"/>
    <w:rsid w:val="00021C40"/>
    <w:rsid w:val="00022370"/>
    <w:rsid w:val="00022377"/>
    <w:rsid w:val="00022895"/>
    <w:rsid w:val="00022A87"/>
    <w:rsid w:val="00022B95"/>
    <w:rsid w:val="000230EF"/>
    <w:rsid w:val="0002355A"/>
    <w:rsid w:val="000243E3"/>
    <w:rsid w:val="000243F5"/>
    <w:rsid w:val="000248DE"/>
    <w:rsid w:val="00024957"/>
    <w:rsid w:val="00025409"/>
    <w:rsid w:val="00026359"/>
    <w:rsid w:val="000265DF"/>
    <w:rsid w:val="0002664A"/>
    <w:rsid w:val="00026EDC"/>
    <w:rsid w:val="00027538"/>
    <w:rsid w:val="00027748"/>
    <w:rsid w:val="0002793B"/>
    <w:rsid w:val="00027CEB"/>
    <w:rsid w:val="00030C92"/>
    <w:rsid w:val="00030F95"/>
    <w:rsid w:val="0003119B"/>
    <w:rsid w:val="000311D1"/>
    <w:rsid w:val="0003200E"/>
    <w:rsid w:val="0003221E"/>
    <w:rsid w:val="00032375"/>
    <w:rsid w:val="000337A3"/>
    <w:rsid w:val="00033893"/>
    <w:rsid w:val="00033EF2"/>
    <w:rsid w:val="00034395"/>
    <w:rsid w:val="00034BB4"/>
    <w:rsid w:val="0003552D"/>
    <w:rsid w:val="00035762"/>
    <w:rsid w:val="00035AA8"/>
    <w:rsid w:val="00036152"/>
    <w:rsid w:val="00036A62"/>
    <w:rsid w:val="00037322"/>
    <w:rsid w:val="00037CF6"/>
    <w:rsid w:val="00037DC8"/>
    <w:rsid w:val="00040186"/>
    <w:rsid w:val="00040967"/>
    <w:rsid w:val="000412EA"/>
    <w:rsid w:val="000415BD"/>
    <w:rsid w:val="0004173A"/>
    <w:rsid w:val="000423B8"/>
    <w:rsid w:val="000428F2"/>
    <w:rsid w:val="000430F2"/>
    <w:rsid w:val="0004333C"/>
    <w:rsid w:val="00043421"/>
    <w:rsid w:val="0004385D"/>
    <w:rsid w:val="00043AB3"/>
    <w:rsid w:val="00043BF8"/>
    <w:rsid w:val="00043FA8"/>
    <w:rsid w:val="0004429C"/>
    <w:rsid w:val="000447EF"/>
    <w:rsid w:val="00044C3B"/>
    <w:rsid w:val="00044DA3"/>
    <w:rsid w:val="00044F08"/>
    <w:rsid w:val="00044FED"/>
    <w:rsid w:val="00045130"/>
    <w:rsid w:val="0004566E"/>
    <w:rsid w:val="000457A4"/>
    <w:rsid w:val="000458AA"/>
    <w:rsid w:val="00045C67"/>
    <w:rsid w:val="00046071"/>
    <w:rsid w:val="000462E0"/>
    <w:rsid w:val="00046726"/>
    <w:rsid w:val="0004757D"/>
    <w:rsid w:val="00047C28"/>
    <w:rsid w:val="00047C7F"/>
    <w:rsid w:val="00047E5E"/>
    <w:rsid w:val="00050120"/>
    <w:rsid w:val="000502FF"/>
    <w:rsid w:val="00050674"/>
    <w:rsid w:val="00051162"/>
    <w:rsid w:val="000511E0"/>
    <w:rsid w:val="0005159D"/>
    <w:rsid w:val="0005178B"/>
    <w:rsid w:val="000518A2"/>
    <w:rsid w:val="000518A8"/>
    <w:rsid w:val="00051DCC"/>
    <w:rsid w:val="00051DF8"/>
    <w:rsid w:val="00051F05"/>
    <w:rsid w:val="00052302"/>
    <w:rsid w:val="000528B2"/>
    <w:rsid w:val="00052B77"/>
    <w:rsid w:val="00052B7C"/>
    <w:rsid w:val="00052BE6"/>
    <w:rsid w:val="00052EA3"/>
    <w:rsid w:val="00053569"/>
    <w:rsid w:val="0005366C"/>
    <w:rsid w:val="00053D04"/>
    <w:rsid w:val="0005435B"/>
    <w:rsid w:val="0005475F"/>
    <w:rsid w:val="00054C7A"/>
    <w:rsid w:val="00054CB7"/>
    <w:rsid w:val="00055151"/>
    <w:rsid w:val="00055523"/>
    <w:rsid w:val="00056D44"/>
    <w:rsid w:val="00056D7A"/>
    <w:rsid w:val="00056FD1"/>
    <w:rsid w:val="0005766B"/>
    <w:rsid w:val="00057998"/>
    <w:rsid w:val="00057A39"/>
    <w:rsid w:val="00057FBA"/>
    <w:rsid w:val="000604B3"/>
    <w:rsid w:val="00060BB9"/>
    <w:rsid w:val="00060EAE"/>
    <w:rsid w:val="0006152B"/>
    <w:rsid w:val="000617BE"/>
    <w:rsid w:val="00061D29"/>
    <w:rsid w:val="00061EA4"/>
    <w:rsid w:val="000635C7"/>
    <w:rsid w:val="000637C1"/>
    <w:rsid w:val="00063D7F"/>
    <w:rsid w:val="000646E5"/>
    <w:rsid w:val="000647F9"/>
    <w:rsid w:val="00064BDC"/>
    <w:rsid w:val="000650ED"/>
    <w:rsid w:val="00065696"/>
    <w:rsid w:val="0006579F"/>
    <w:rsid w:val="00065B8F"/>
    <w:rsid w:val="00065E8B"/>
    <w:rsid w:val="000660A3"/>
    <w:rsid w:val="00066437"/>
    <w:rsid w:val="00066B79"/>
    <w:rsid w:val="00067C3A"/>
    <w:rsid w:val="00070236"/>
    <w:rsid w:val="00070757"/>
    <w:rsid w:val="00070AF0"/>
    <w:rsid w:val="00070B7D"/>
    <w:rsid w:val="00070DC8"/>
    <w:rsid w:val="00071039"/>
    <w:rsid w:val="00071845"/>
    <w:rsid w:val="00071ABE"/>
    <w:rsid w:val="00071AD7"/>
    <w:rsid w:val="00071CF6"/>
    <w:rsid w:val="00072365"/>
    <w:rsid w:val="000724C8"/>
    <w:rsid w:val="00072612"/>
    <w:rsid w:val="00072995"/>
    <w:rsid w:val="00072A25"/>
    <w:rsid w:val="00073B83"/>
    <w:rsid w:val="00073CC2"/>
    <w:rsid w:val="00073F32"/>
    <w:rsid w:val="00073FE7"/>
    <w:rsid w:val="000745DB"/>
    <w:rsid w:val="00074A66"/>
    <w:rsid w:val="00075589"/>
    <w:rsid w:val="0007575B"/>
    <w:rsid w:val="00075BBD"/>
    <w:rsid w:val="00075D36"/>
    <w:rsid w:val="00076454"/>
    <w:rsid w:val="00077560"/>
    <w:rsid w:val="000777EA"/>
    <w:rsid w:val="00077A63"/>
    <w:rsid w:val="00077A9D"/>
    <w:rsid w:val="00077CC8"/>
    <w:rsid w:val="00077EEF"/>
    <w:rsid w:val="000802EF"/>
    <w:rsid w:val="000818D6"/>
    <w:rsid w:val="00081A6B"/>
    <w:rsid w:val="00081C64"/>
    <w:rsid w:val="00081D70"/>
    <w:rsid w:val="00082028"/>
    <w:rsid w:val="000821EE"/>
    <w:rsid w:val="00082334"/>
    <w:rsid w:val="0008253E"/>
    <w:rsid w:val="000826A7"/>
    <w:rsid w:val="00082955"/>
    <w:rsid w:val="00082EB1"/>
    <w:rsid w:val="00083626"/>
    <w:rsid w:val="00083AAE"/>
    <w:rsid w:val="00083AB9"/>
    <w:rsid w:val="00083B18"/>
    <w:rsid w:val="00083B86"/>
    <w:rsid w:val="00084443"/>
    <w:rsid w:val="0008485C"/>
    <w:rsid w:val="00084C3E"/>
    <w:rsid w:val="000851CC"/>
    <w:rsid w:val="000853B9"/>
    <w:rsid w:val="00085924"/>
    <w:rsid w:val="00085D6E"/>
    <w:rsid w:val="00086038"/>
    <w:rsid w:val="00086A91"/>
    <w:rsid w:val="00086D61"/>
    <w:rsid w:val="00086F65"/>
    <w:rsid w:val="00087185"/>
    <w:rsid w:val="000877AA"/>
    <w:rsid w:val="00087F70"/>
    <w:rsid w:val="0009032B"/>
    <w:rsid w:val="00090568"/>
    <w:rsid w:val="000906C5"/>
    <w:rsid w:val="00091099"/>
    <w:rsid w:val="0009119C"/>
    <w:rsid w:val="00092544"/>
    <w:rsid w:val="00092680"/>
    <w:rsid w:val="00093221"/>
    <w:rsid w:val="00093814"/>
    <w:rsid w:val="000939B6"/>
    <w:rsid w:val="00093DA8"/>
    <w:rsid w:val="00094225"/>
    <w:rsid w:val="0009436B"/>
    <w:rsid w:val="00094930"/>
    <w:rsid w:val="00094C1B"/>
    <w:rsid w:val="00094D90"/>
    <w:rsid w:val="000950E3"/>
    <w:rsid w:val="00095BBC"/>
    <w:rsid w:val="00097001"/>
    <w:rsid w:val="00097066"/>
    <w:rsid w:val="00097913"/>
    <w:rsid w:val="000A0AF0"/>
    <w:rsid w:val="000A1248"/>
    <w:rsid w:val="000A18B6"/>
    <w:rsid w:val="000A1D55"/>
    <w:rsid w:val="000A1E8F"/>
    <w:rsid w:val="000A2C70"/>
    <w:rsid w:val="000A31D2"/>
    <w:rsid w:val="000A409A"/>
    <w:rsid w:val="000A4118"/>
    <w:rsid w:val="000A416D"/>
    <w:rsid w:val="000A41C3"/>
    <w:rsid w:val="000A46C8"/>
    <w:rsid w:val="000A5B0A"/>
    <w:rsid w:val="000A5D03"/>
    <w:rsid w:val="000A5D39"/>
    <w:rsid w:val="000A5E15"/>
    <w:rsid w:val="000A6AC4"/>
    <w:rsid w:val="000B02F1"/>
    <w:rsid w:val="000B08EB"/>
    <w:rsid w:val="000B0C53"/>
    <w:rsid w:val="000B1611"/>
    <w:rsid w:val="000B2011"/>
    <w:rsid w:val="000B22F2"/>
    <w:rsid w:val="000B2312"/>
    <w:rsid w:val="000B25A1"/>
    <w:rsid w:val="000B25B5"/>
    <w:rsid w:val="000B273C"/>
    <w:rsid w:val="000B2A12"/>
    <w:rsid w:val="000B353C"/>
    <w:rsid w:val="000B3DCB"/>
    <w:rsid w:val="000B4C73"/>
    <w:rsid w:val="000B4E1E"/>
    <w:rsid w:val="000B4F28"/>
    <w:rsid w:val="000B4FF4"/>
    <w:rsid w:val="000B5388"/>
    <w:rsid w:val="000B54D1"/>
    <w:rsid w:val="000B566D"/>
    <w:rsid w:val="000B5A4D"/>
    <w:rsid w:val="000B610A"/>
    <w:rsid w:val="000B6408"/>
    <w:rsid w:val="000B644B"/>
    <w:rsid w:val="000B6694"/>
    <w:rsid w:val="000B68E2"/>
    <w:rsid w:val="000B6CEE"/>
    <w:rsid w:val="000B6D59"/>
    <w:rsid w:val="000B7220"/>
    <w:rsid w:val="000B7304"/>
    <w:rsid w:val="000B7E0B"/>
    <w:rsid w:val="000B7ECD"/>
    <w:rsid w:val="000C04CB"/>
    <w:rsid w:val="000C06FA"/>
    <w:rsid w:val="000C0800"/>
    <w:rsid w:val="000C0F30"/>
    <w:rsid w:val="000C0FE9"/>
    <w:rsid w:val="000C10F2"/>
    <w:rsid w:val="000C1872"/>
    <w:rsid w:val="000C1D2A"/>
    <w:rsid w:val="000C1D3E"/>
    <w:rsid w:val="000C1F9D"/>
    <w:rsid w:val="000C22B2"/>
    <w:rsid w:val="000C2307"/>
    <w:rsid w:val="000C256C"/>
    <w:rsid w:val="000C2684"/>
    <w:rsid w:val="000C2BF4"/>
    <w:rsid w:val="000C2EBC"/>
    <w:rsid w:val="000C3A5F"/>
    <w:rsid w:val="000C497F"/>
    <w:rsid w:val="000C4ED1"/>
    <w:rsid w:val="000C5245"/>
    <w:rsid w:val="000C535F"/>
    <w:rsid w:val="000C5C36"/>
    <w:rsid w:val="000C5D0C"/>
    <w:rsid w:val="000C5D87"/>
    <w:rsid w:val="000C66C0"/>
    <w:rsid w:val="000C69B0"/>
    <w:rsid w:val="000C72B2"/>
    <w:rsid w:val="000C7386"/>
    <w:rsid w:val="000C75E6"/>
    <w:rsid w:val="000C7635"/>
    <w:rsid w:val="000C7788"/>
    <w:rsid w:val="000C7F45"/>
    <w:rsid w:val="000D0190"/>
    <w:rsid w:val="000D081C"/>
    <w:rsid w:val="000D0CBE"/>
    <w:rsid w:val="000D100E"/>
    <w:rsid w:val="000D1425"/>
    <w:rsid w:val="000D1607"/>
    <w:rsid w:val="000D1A3D"/>
    <w:rsid w:val="000D2325"/>
    <w:rsid w:val="000D26B3"/>
    <w:rsid w:val="000D29FF"/>
    <w:rsid w:val="000D3168"/>
    <w:rsid w:val="000D3F6C"/>
    <w:rsid w:val="000D46D5"/>
    <w:rsid w:val="000D49F9"/>
    <w:rsid w:val="000D4C2C"/>
    <w:rsid w:val="000D545B"/>
    <w:rsid w:val="000D5AFD"/>
    <w:rsid w:val="000D6973"/>
    <w:rsid w:val="000D6C21"/>
    <w:rsid w:val="000D782F"/>
    <w:rsid w:val="000E01F2"/>
    <w:rsid w:val="000E0252"/>
    <w:rsid w:val="000E0D7C"/>
    <w:rsid w:val="000E0FD1"/>
    <w:rsid w:val="000E1042"/>
    <w:rsid w:val="000E1503"/>
    <w:rsid w:val="000E17CD"/>
    <w:rsid w:val="000E2114"/>
    <w:rsid w:val="000E2EF8"/>
    <w:rsid w:val="000E3161"/>
    <w:rsid w:val="000E39D1"/>
    <w:rsid w:val="000E4422"/>
    <w:rsid w:val="000E4AB2"/>
    <w:rsid w:val="000E54A5"/>
    <w:rsid w:val="000E5560"/>
    <w:rsid w:val="000E61D3"/>
    <w:rsid w:val="000E6385"/>
    <w:rsid w:val="000E6493"/>
    <w:rsid w:val="000E655B"/>
    <w:rsid w:val="000E6B1E"/>
    <w:rsid w:val="000E6BDB"/>
    <w:rsid w:val="000E7056"/>
    <w:rsid w:val="000E76CE"/>
    <w:rsid w:val="000F005E"/>
    <w:rsid w:val="000F00A6"/>
    <w:rsid w:val="000F0A4F"/>
    <w:rsid w:val="000F0BDD"/>
    <w:rsid w:val="000F192F"/>
    <w:rsid w:val="000F1ADE"/>
    <w:rsid w:val="000F24BA"/>
    <w:rsid w:val="000F266D"/>
    <w:rsid w:val="000F2912"/>
    <w:rsid w:val="000F2B05"/>
    <w:rsid w:val="000F2F4F"/>
    <w:rsid w:val="000F372C"/>
    <w:rsid w:val="000F3B0C"/>
    <w:rsid w:val="000F3F88"/>
    <w:rsid w:val="000F3FBA"/>
    <w:rsid w:val="000F5224"/>
    <w:rsid w:val="000F5EB3"/>
    <w:rsid w:val="000F5F4F"/>
    <w:rsid w:val="000F6561"/>
    <w:rsid w:val="000F6B73"/>
    <w:rsid w:val="000F714F"/>
    <w:rsid w:val="000F71E8"/>
    <w:rsid w:val="000F741A"/>
    <w:rsid w:val="000F785D"/>
    <w:rsid w:val="000F7CC1"/>
    <w:rsid w:val="000F7EF2"/>
    <w:rsid w:val="00100600"/>
    <w:rsid w:val="0010144C"/>
    <w:rsid w:val="0010182F"/>
    <w:rsid w:val="00101CB5"/>
    <w:rsid w:val="001025B9"/>
    <w:rsid w:val="00102C7C"/>
    <w:rsid w:val="0010442B"/>
    <w:rsid w:val="001050EC"/>
    <w:rsid w:val="001058EC"/>
    <w:rsid w:val="001062BD"/>
    <w:rsid w:val="0010643D"/>
    <w:rsid w:val="00106685"/>
    <w:rsid w:val="00106DDF"/>
    <w:rsid w:val="00107EF6"/>
    <w:rsid w:val="00110359"/>
    <w:rsid w:val="00110BC9"/>
    <w:rsid w:val="00110CD3"/>
    <w:rsid w:val="00111332"/>
    <w:rsid w:val="00111634"/>
    <w:rsid w:val="00111ED9"/>
    <w:rsid w:val="00111EF4"/>
    <w:rsid w:val="0011255E"/>
    <w:rsid w:val="001125D3"/>
    <w:rsid w:val="00112631"/>
    <w:rsid w:val="0011296D"/>
    <w:rsid w:val="0011298B"/>
    <w:rsid w:val="00112FE1"/>
    <w:rsid w:val="00114DF1"/>
    <w:rsid w:val="00115155"/>
    <w:rsid w:val="00115C6E"/>
    <w:rsid w:val="00115C7D"/>
    <w:rsid w:val="001165D5"/>
    <w:rsid w:val="00116CE1"/>
    <w:rsid w:val="001170A1"/>
    <w:rsid w:val="00117F04"/>
    <w:rsid w:val="00120124"/>
    <w:rsid w:val="0012054F"/>
    <w:rsid w:val="00120756"/>
    <w:rsid w:val="00120824"/>
    <w:rsid w:val="00120923"/>
    <w:rsid w:val="00120B58"/>
    <w:rsid w:val="001214A4"/>
    <w:rsid w:val="001216BC"/>
    <w:rsid w:val="00121A0A"/>
    <w:rsid w:val="00121C0D"/>
    <w:rsid w:val="00121C7F"/>
    <w:rsid w:val="00121E3B"/>
    <w:rsid w:val="00122657"/>
    <w:rsid w:val="00122FAB"/>
    <w:rsid w:val="001234FB"/>
    <w:rsid w:val="001235AD"/>
    <w:rsid w:val="001236D0"/>
    <w:rsid w:val="00123900"/>
    <w:rsid w:val="00123A18"/>
    <w:rsid w:val="00123CDC"/>
    <w:rsid w:val="00124275"/>
    <w:rsid w:val="00125202"/>
    <w:rsid w:val="00125443"/>
    <w:rsid w:val="00125C23"/>
    <w:rsid w:val="00125DA5"/>
    <w:rsid w:val="00126919"/>
    <w:rsid w:val="00126E4E"/>
    <w:rsid w:val="001272B0"/>
    <w:rsid w:val="00127322"/>
    <w:rsid w:val="00127E3C"/>
    <w:rsid w:val="00127EC8"/>
    <w:rsid w:val="00130016"/>
    <w:rsid w:val="00130359"/>
    <w:rsid w:val="00130BDE"/>
    <w:rsid w:val="001310D9"/>
    <w:rsid w:val="001313B6"/>
    <w:rsid w:val="0013160B"/>
    <w:rsid w:val="00131F86"/>
    <w:rsid w:val="001320B7"/>
    <w:rsid w:val="00132DFA"/>
    <w:rsid w:val="00132EF3"/>
    <w:rsid w:val="001336FD"/>
    <w:rsid w:val="00134131"/>
    <w:rsid w:val="00134407"/>
    <w:rsid w:val="001348C6"/>
    <w:rsid w:val="00134C3E"/>
    <w:rsid w:val="00134D74"/>
    <w:rsid w:val="001360F7"/>
    <w:rsid w:val="00136173"/>
    <w:rsid w:val="00136530"/>
    <w:rsid w:val="00136584"/>
    <w:rsid w:val="001366B7"/>
    <w:rsid w:val="001369C2"/>
    <w:rsid w:val="00136B73"/>
    <w:rsid w:val="00136B84"/>
    <w:rsid w:val="00136EE5"/>
    <w:rsid w:val="001371C5"/>
    <w:rsid w:val="0013735F"/>
    <w:rsid w:val="001375BB"/>
    <w:rsid w:val="00137F30"/>
    <w:rsid w:val="00140931"/>
    <w:rsid w:val="001410E1"/>
    <w:rsid w:val="00141D23"/>
    <w:rsid w:val="00141F30"/>
    <w:rsid w:val="001424AF"/>
    <w:rsid w:val="00142680"/>
    <w:rsid w:val="0014276B"/>
    <w:rsid w:val="00142A34"/>
    <w:rsid w:val="0014379C"/>
    <w:rsid w:val="00144135"/>
    <w:rsid w:val="001445C1"/>
    <w:rsid w:val="00144957"/>
    <w:rsid w:val="001449FA"/>
    <w:rsid w:val="00144A04"/>
    <w:rsid w:val="0014662B"/>
    <w:rsid w:val="001466C9"/>
    <w:rsid w:val="0014683C"/>
    <w:rsid w:val="001474EE"/>
    <w:rsid w:val="00147B2B"/>
    <w:rsid w:val="00147EBF"/>
    <w:rsid w:val="00147F7C"/>
    <w:rsid w:val="00150687"/>
    <w:rsid w:val="0015080B"/>
    <w:rsid w:val="001508E5"/>
    <w:rsid w:val="00150ADF"/>
    <w:rsid w:val="0015147E"/>
    <w:rsid w:val="0015176A"/>
    <w:rsid w:val="00151979"/>
    <w:rsid w:val="00151C6C"/>
    <w:rsid w:val="00151ED2"/>
    <w:rsid w:val="00152210"/>
    <w:rsid w:val="00152355"/>
    <w:rsid w:val="001525C9"/>
    <w:rsid w:val="00152B3A"/>
    <w:rsid w:val="00153925"/>
    <w:rsid w:val="00153DEC"/>
    <w:rsid w:val="001544EB"/>
    <w:rsid w:val="00154646"/>
    <w:rsid w:val="00154E31"/>
    <w:rsid w:val="00155965"/>
    <w:rsid w:val="001573DA"/>
    <w:rsid w:val="00157C1B"/>
    <w:rsid w:val="00157C39"/>
    <w:rsid w:val="00160C60"/>
    <w:rsid w:val="00160C7B"/>
    <w:rsid w:val="00160DB1"/>
    <w:rsid w:val="001612EA"/>
    <w:rsid w:val="0016168A"/>
    <w:rsid w:val="0016189C"/>
    <w:rsid w:val="00161CB3"/>
    <w:rsid w:val="0016297B"/>
    <w:rsid w:val="00162B41"/>
    <w:rsid w:val="00162D98"/>
    <w:rsid w:val="00162F70"/>
    <w:rsid w:val="0016324A"/>
    <w:rsid w:val="001633CA"/>
    <w:rsid w:val="00163801"/>
    <w:rsid w:val="00163890"/>
    <w:rsid w:val="001638C9"/>
    <w:rsid w:val="00163970"/>
    <w:rsid w:val="00163DA6"/>
    <w:rsid w:val="0016420C"/>
    <w:rsid w:val="00164CE9"/>
    <w:rsid w:val="00165274"/>
    <w:rsid w:val="0016545D"/>
    <w:rsid w:val="001659DF"/>
    <w:rsid w:val="00165EEA"/>
    <w:rsid w:val="001666B5"/>
    <w:rsid w:val="0016762D"/>
    <w:rsid w:val="00167762"/>
    <w:rsid w:val="00167913"/>
    <w:rsid w:val="00167C2F"/>
    <w:rsid w:val="00170812"/>
    <w:rsid w:val="00170925"/>
    <w:rsid w:val="00170BE2"/>
    <w:rsid w:val="00170E29"/>
    <w:rsid w:val="0017126E"/>
    <w:rsid w:val="0017139F"/>
    <w:rsid w:val="00171A73"/>
    <w:rsid w:val="0017218B"/>
    <w:rsid w:val="00172A27"/>
    <w:rsid w:val="00172DAF"/>
    <w:rsid w:val="00172DB8"/>
    <w:rsid w:val="0017301C"/>
    <w:rsid w:val="00173688"/>
    <w:rsid w:val="001736BB"/>
    <w:rsid w:val="00173DE0"/>
    <w:rsid w:val="00173F32"/>
    <w:rsid w:val="0017423E"/>
    <w:rsid w:val="0017434A"/>
    <w:rsid w:val="00174987"/>
    <w:rsid w:val="00174AC9"/>
    <w:rsid w:val="00174BB9"/>
    <w:rsid w:val="00174CB2"/>
    <w:rsid w:val="00174FAB"/>
    <w:rsid w:val="001759DF"/>
    <w:rsid w:val="00175B72"/>
    <w:rsid w:val="00175FCA"/>
    <w:rsid w:val="00176811"/>
    <w:rsid w:val="00176BC8"/>
    <w:rsid w:val="001779FD"/>
    <w:rsid w:val="00177BC8"/>
    <w:rsid w:val="00177E6C"/>
    <w:rsid w:val="00180541"/>
    <w:rsid w:val="00180717"/>
    <w:rsid w:val="001809A9"/>
    <w:rsid w:val="00180BC9"/>
    <w:rsid w:val="00180D37"/>
    <w:rsid w:val="00180D82"/>
    <w:rsid w:val="00180E61"/>
    <w:rsid w:val="00180F93"/>
    <w:rsid w:val="0018112E"/>
    <w:rsid w:val="00181244"/>
    <w:rsid w:val="00181C0A"/>
    <w:rsid w:val="001820DA"/>
    <w:rsid w:val="00182169"/>
    <w:rsid w:val="00182747"/>
    <w:rsid w:val="00182D28"/>
    <w:rsid w:val="001833DC"/>
    <w:rsid w:val="00183C88"/>
    <w:rsid w:val="00183F6D"/>
    <w:rsid w:val="00184CEE"/>
    <w:rsid w:val="00184DBE"/>
    <w:rsid w:val="00184E42"/>
    <w:rsid w:val="001855C0"/>
    <w:rsid w:val="00186440"/>
    <w:rsid w:val="00186A02"/>
    <w:rsid w:val="00186ABA"/>
    <w:rsid w:val="00186F66"/>
    <w:rsid w:val="001870FF"/>
    <w:rsid w:val="00190A03"/>
    <w:rsid w:val="00190B4E"/>
    <w:rsid w:val="001912B3"/>
    <w:rsid w:val="00191C71"/>
    <w:rsid w:val="00191DEF"/>
    <w:rsid w:val="00191E7E"/>
    <w:rsid w:val="00191F29"/>
    <w:rsid w:val="00191F7F"/>
    <w:rsid w:val="0019290D"/>
    <w:rsid w:val="0019298F"/>
    <w:rsid w:val="00192D6C"/>
    <w:rsid w:val="0019319A"/>
    <w:rsid w:val="001932A1"/>
    <w:rsid w:val="00193DE5"/>
    <w:rsid w:val="00194246"/>
    <w:rsid w:val="001943BB"/>
    <w:rsid w:val="001943F5"/>
    <w:rsid w:val="001944DA"/>
    <w:rsid w:val="0019485B"/>
    <w:rsid w:val="001954CF"/>
    <w:rsid w:val="00195809"/>
    <w:rsid w:val="00196075"/>
    <w:rsid w:val="0019646F"/>
    <w:rsid w:val="00196B2F"/>
    <w:rsid w:val="00197391"/>
    <w:rsid w:val="0019758A"/>
    <w:rsid w:val="00197772"/>
    <w:rsid w:val="00197A96"/>
    <w:rsid w:val="00197BF7"/>
    <w:rsid w:val="001A0025"/>
    <w:rsid w:val="001A05D3"/>
    <w:rsid w:val="001A0FE4"/>
    <w:rsid w:val="001A10E4"/>
    <w:rsid w:val="001A14E9"/>
    <w:rsid w:val="001A1AD2"/>
    <w:rsid w:val="001A1B5A"/>
    <w:rsid w:val="001A2377"/>
    <w:rsid w:val="001A248D"/>
    <w:rsid w:val="001A265D"/>
    <w:rsid w:val="001A2833"/>
    <w:rsid w:val="001A2BA6"/>
    <w:rsid w:val="001A30DD"/>
    <w:rsid w:val="001A31AC"/>
    <w:rsid w:val="001A3A9E"/>
    <w:rsid w:val="001A4309"/>
    <w:rsid w:val="001A437C"/>
    <w:rsid w:val="001A4494"/>
    <w:rsid w:val="001A44E2"/>
    <w:rsid w:val="001A4814"/>
    <w:rsid w:val="001A4D54"/>
    <w:rsid w:val="001A5140"/>
    <w:rsid w:val="001A5C97"/>
    <w:rsid w:val="001A665D"/>
    <w:rsid w:val="001A7604"/>
    <w:rsid w:val="001B04D7"/>
    <w:rsid w:val="001B050C"/>
    <w:rsid w:val="001B05D8"/>
    <w:rsid w:val="001B070E"/>
    <w:rsid w:val="001B08F5"/>
    <w:rsid w:val="001B0E0C"/>
    <w:rsid w:val="001B174C"/>
    <w:rsid w:val="001B187D"/>
    <w:rsid w:val="001B191C"/>
    <w:rsid w:val="001B2490"/>
    <w:rsid w:val="001B27E9"/>
    <w:rsid w:val="001B2A1A"/>
    <w:rsid w:val="001B30DB"/>
    <w:rsid w:val="001B3697"/>
    <w:rsid w:val="001B38F2"/>
    <w:rsid w:val="001B3A3C"/>
    <w:rsid w:val="001B3FAE"/>
    <w:rsid w:val="001B4E77"/>
    <w:rsid w:val="001B4FEA"/>
    <w:rsid w:val="001B573B"/>
    <w:rsid w:val="001B5F46"/>
    <w:rsid w:val="001B6110"/>
    <w:rsid w:val="001B658A"/>
    <w:rsid w:val="001B6621"/>
    <w:rsid w:val="001B6A0A"/>
    <w:rsid w:val="001B6B32"/>
    <w:rsid w:val="001B6BC1"/>
    <w:rsid w:val="001B719E"/>
    <w:rsid w:val="001B72E8"/>
    <w:rsid w:val="001B7AA7"/>
    <w:rsid w:val="001B7D15"/>
    <w:rsid w:val="001C034A"/>
    <w:rsid w:val="001C0D0A"/>
    <w:rsid w:val="001C1989"/>
    <w:rsid w:val="001C19BD"/>
    <w:rsid w:val="001C1CC9"/>
    <w:rsid w:val="001C26E7"/>
    <w:rsid w:val="001C2855"/>
    <w:rsid w:val="001C2A81"/>
    <w:rsid w:val="001C2E64"/>
    <w:rsid w:val="001C2EED"/>
    <w:rsid w:val="001C355B"/>
    <w:rsid w:val="001C38B3"/>
    <w:rsid w:val="001C3955"/>
    <w:rsid w:val="001C401B"/>
    <w:rsid w:val="001C43D6"/>
    <w:rsid w:val="001C5797"/>
    <w:rsid w:val="001C5EC4"/>
    <w:rsid w:val="001C61B9"/>
    <w:rsid w:val="001C6201"/>
    <w:rsid w:val="001C64C9"/>
    <w:rsid w:val="001C666D"/>
    <w:rsid w:val="001C6BFD"/>
    <w:rsid w:val="001C6E1A"/>
    <w:rsid w:val="001C727D"/>
    <w:rsid w:val="001C7281"/>
    <w:rsid w:val="001C7CDA"/>
    <w:rsid w:val="001D000B"/>
    <w:rsid w:val="001D0BC5"/>
    <w:rsid w:val="001D10A2"/>
    <w:rsid w:val="001D15E9"/>
    <w:rsid w:val="001D15F3"/>
    <w:rsid w:val="001D1770"/>
    <w:rsid w:val="001D185B"/>
    <w:rsid w:val="001D1BA7"/>
    <w:rsid w:val="001D1D04"/>
    <w:rsid w:val="001D1F7E"/>
    <w:rsid w:val="001D24EE"/>
    <w:rsid w:val="001D2670"/>
    <w:rsid w:val="001D2CB6"/>
    <w:rsid w:val="001D31E9"/>
    <w:rsid w:val="001D3487"/>
    <w:rsid w:val="001D3800"/>
    <w:rsid w:val="001D3A29"/>
    <w:rsid w:val="001D3B7D"/>
    <w:rsid w:val="001D426A"/>
    <w:rsid w:val="001D42BB"/>
    <w:rsid w:val="001D4B94"/>
    <w:rsid w:val="001D5370"/>
    <w:rsid w:val="001D53CB"/>
    <w:rsid w:val="001D63AC"/>
    <w:rsid w:val="001D6E72"/>
    <w:rsid w:val="001D6EEE"/>
    <w:rsid w:val="001D7B3E"/>
    <w:rsid w:val="001D7BA9"/>
    <w:rsid w:val="001D7D0B"/>
    <w:rsid w:val="001D7E4C"/>
    <w:rsid w:val="001D7F7C"/>
    <w:rsid w:val="001E13BC"/>
    <w:rsid w:val="001E1884"/>
    <w:rsid w:val="001E1A02"/>
    <w:rsid w:val="001E1FB5"/>
    <w:rsid w:val="001E31EC"/>
    <w:rsid w:val="001E34C4"/>
    <w:rsid w:val="001E36CB"/>
    <w:rsid w:val="001E3842"/>
    <w:rsid w:val="001E3A93"/>
    <w:rsid w:val="001E3D26"/>
    <w:rsid w:val="001E3E96"/>
    <w:rsid w:val="001E43BB"/>
    <w:rsid w:val="001E444B"/>
    <w:rsid w:val="001E4459"/>
    <w:rsid w:val="001E44E0"/>
    <w:rsid w:val="001E46E9"/>
    <w:rsid w:val="001E476D"/>
    <w:rsid w:val="001E4B13"/>
    <w:rsid w:val="001E4F54"/>
    <w:rsid w:val="001E500D"/>
    <w:rsid w:val="001E535D"/>
    <w:rsid w:val="001E58EE"/>
    <w:rsid w:val="001E69A2"/>
    <w:rsid w:val="001E6ABB"/>
    <w:rsid w:val="001E6E3A"/>
    <w:rsid w:val="001E7A8C"/>
    <w:rsid w:val="001F0D62"/>
    <w:rsid w:val="001F0D6A"/>
    <w:rsid w:val="001F162F"/>
    <w:rsid w:val="001F167E"/>
    <w:rsid w:val="001F17A1"/>
    <w:rsid w:val="001F1829"/>
    <w:rsid w:val="001F196A"/>
    <w:rsid w:val="001F1D97"/>
    <w:rsid w:val="001F1E5F"/>
    <w:rsid w:val="001F1F6F"/>
    <w:rsid w:val="001F2874"/>
    <w:rsid w:val="001F2951"/>
    <w:rsid w:val="001F2BC0"/>
    <w:rsid w:val="001F34F6"/>
    <w:rsid w:val="001F3689"/>
    <w:rsid w:val="001F3831"/>
    <w:rsid w:val="001F45AF"/>
    <w:rsid w:val="001F45E4"/>
    <w:rsid w:val="001F49C6"/>
    <w:rsid w:val="001F5218"/>
    <w:rsid w:val="001F5375"/>
    <w:rsid w:val="001F58CB"/>
    <w:rsid w:val="001F5B7C"/>
    <w:rsid w:val="001F5D50"/>
    <w:rsid w:val="001F5E16"/>
    <w:rsid w:val="001F5F15"/>
    <w:rsid w:val="001F67AA"/>
    <w:rsid w:val="001F6E63"/>
    <w:rsid w:val="001F7736"/>
    <w:rsid w:val="001F7742"/>
    <w:rsid w:val="001F7CF1"/>
    <w:rsid w:val="001F7D15"/>
    <w:rsid w:val="001F7FAE"/>
    <w:rsid w:val="0020053E"/>
    <w:rsid w:val="002006B8"/>
    <w:rsid w:val="0020076C"/>
    <w:rsid w:val="00200C34"/>
    <w:rsid w:val="002013BB"/>
    <w:rsid w:val="002013DC"/>
    <w:rsid w:val="00201972"/>
    <w:rsid w:val="00201C78"/>
    <w:rsid w:val="00201DEF"/>
    <w:rsid w:val="00201F2C"/>
    <w:rsid w:val="00202355"/>
    <w:rsid w:val="0020266E"/>
    <w:rsid w:val="00202B9A"/>
    <w:rsid w:val="00202E2D"/>
    <w:rsid w:val="00202EEE"/>
    <w:rsid w:val="002034EE"/>
    <w:rsid w:val="002036AF"/>
    <w:rsid w:val="0020425B"/>
    <w:rsid w:val="002042CF"/>
    <w:rsid w:val="002043AB"/>
    <w:rsid w:val="00204AE7"/>
    <w:rsid w:val="00204C4C"/>
    <w:rsid w:val="002053DD"/>
    <w:rsid w:val="00205900"/>
    <w:rsid w:val="00205C1C"/>
    <w:rsid w:val="00206154"/>
    <w:rsid w:val="00206585"/>
    <w:rsid w:val="002067D0"/>
    <w:rsid w:val="00206941"/>
    <w:rsid w:val="002069F4"/>
    <w:rsid w:val="00206A3A"/>
    <w:rsid w:val="002073F4"/>
    <w:rsid w:val="00207447"/>
    <w:rsid w:val="00210231"/>
    <w:rsid w:val="00210A32"/>
    <w:rsid w:val="00210A6E"/>
    <w:rsid w:val="00210CB5"/>
    <w:rsid w:val="002118B8"/>
    <w:rsid w:val="00211D38"/>
    <w:rsid w:val="00211FEA"/>
    <w:rsid w:val="002121F2"/>
    <w:rsid w:val="00212279"/>
    <w:rsid w:val="002124A0"/>
    <w:rsid w:val="00212ECC"/>
    <w:rsid w:val="00213F96"/>
    <w:rsid w:val="0021436C"/>
    <w:rsid w:val="00214883"/>
    <w:rsid w:val="002153D5"/>
    <w:rsid w:val="00215CBE"/>
    <w:rsid w:val="002162AD"/>
    <w:rsid w:val="002167CD"/>
    <w:rsid w:val="00217443"/>
    <w:rsid w:val="0021770E"/>
    <w:rsid w:val="00217A32"/>
    <w:rsid w:val="00217E75"/>
    <w:rsid w:val="00217FC8"/>
    <w:rsid w:val="00217FFB"/>
    <w:rsid w:val="0022010C"/>
    <w:rsid w:val="00220278"/>
    <w:rsid w:val="00220A3E"/>
    <w:rsid w:val="00221754"/>
    <w:rsid w:val="00221805"/>
    <w:rsid w:val="00221EEE"/>
    <w:rsid w:val="002224A7"/>
    <w:rsid w:val="00222FD9"/>
    <w:rsid w:val="002235FB"/>
    <w:rsid w:val="00223D3A"/>
    <w:rsid w:val="00224106"/>
    <w:rsid w:val="00224811"/>
    <w:rsid w:val="00224922"/>
    <w:rsid w:val="002250A4"/>
    <w:rsid w:val="002253F8"/>
    <w:rsid w:val="002254F6"/>
    <w:rsid w:val="0022550F"/>
    <w:rsid w:val="00225A80"/>
    <w:rsid w:val="00227039"/>
    <w:rsid w:val="002272D9"/>
    <w:rsid w:val="002277CB"/>
    <w:rsid w:val="00227BE6"/>
    <w:rsid w:val="00230714"/>
    <w:rsid w:val="002308DA"/>
    <w:rsid w:val="0023118C"/>
    <w:rsid w:val="00231725"/>
    <w:rsid w:val="0023198D"/>
    <w:rsid w:val="00231B16"/>
    <w:rsid w:val="00231BDE"/>
    <w:rsid w:val="00231E01"/>
    <w:rsid w:val="00231E6C"/>
    <w:rsid w:val="00231F2E"/>
    <w:rsid w:val="00232030"/>
    <w:rsid w:val="00232051"/>
    <w:rsid w:val="002322B6"/>
    <w:rsid w:val="0023255D"/>
    <w:rsid w:val="00232905"/>
    <w:rsid w:val="00232EC3"/>
    <w:rsid w:val="00233037"/>
    <w:rsid w:val="00233418"/>
    <w:rsid w:val="002338D6"/>
    <w:rsid w:val="00233DCF"/>
    <w:rsid w:val="00234730"/>
    <w:rsid w:val="00234958"/>
    <w:rsid w:val="00235072"/>
    <w:rsid w:val="00235771"/>
    <w:rsid w:val="00235E6E"/>
    <w:rsid w:val="00235E9A"/>
    <w:rsid w:val="00236154"/>
    <w:rsid w:val="00236301"/>
    <w:rsid w:val="002364B0"/>
    <w:rsid w:val="00237942"/>
    <w:rsid w:val="00237CAF"/>
    <w:rsid w:val="00237DD7"/>
    <w:rsid w:val="00237E78"/>
    <w:rsid w:val="00240156"/>
    <w:rsid w:val="00240C1D"/>
    <w:rsid w:val="00240D84"/>
    <w:rsid w:val="00241C94"/>
    <w:rsid w:val="002423DA"/>
    <w:rsid w:val="00242495"/>
    <w:rsid w:val="0024251A"/>
    <w:rsid w:val="00242543"/>
    <w:rsid w:val="00242BB7"/>
    <w:rsid w:val="00242E31"/>
    <w:rsid w:val="0024316A"/>
    <w:rsid w:val="00243282"/>
    <w:rsid w:val="00243439"/>
    <w:rsid w:val="00243917"/>
    <w:rsid w:val="00243C6A"/>
    <w:rsid w:val="00244366"/>
    <w:rsid w:val="00244D51"/>
    <w:rsid w:val="00245619"/>
    <w:rsid w:val="002456AF"/>
    <w:rsid w:val="00245C8C"/>
    <w:rsid w:val="00246303"/>
    <w:rsid w:val="0024637B"/>
    <w:rsid w:val="00246910"/>
    <w:rsid w:val="00246AA0"/>
    <w:rsid w:val="00246EF9"/>
    <w:rsid w:val="00246F87"/>
    <w:rsid w:val="00246FA7"/>
    <w:rsid w:val="00247137"/>
    <w:rsid w:val="00247547"/>
    <w:rsid w:val="00247872"/>
    <w:rsid w:val="00247FFE"/>
    <w:rsid w:val="00250B6D"/>
    <w:rsid w:val="00250CD5"/>
    <w:rsid w:val="00250E69"/>
    <w:rsid w:val="00250EEB"/>
    <w:rsid w:val="002516F1"/>
    <w:rsid w:val="00252071"/>
    <w:rsid w:val="00252E3D"/>
    <w:rsid w:val="00252EEE"/>
    <w:rsid w:val="002530F2"/>
    <w:rsid w:val="0025318C"/>
    <w:rsid w:val="002531AC"/>
    <w:rsid w:val="002532E3"/>
    <w:rsid w:val="002540AB"/>
    <w:rsid w:val="0025450F"/>
    <w:rsid w:val="002545A7"/>
    <w:rsid w:val="00254A11"/>
    <w:rsid w:val="00254AD4"/>
    <w:rsid w:val="00254D36"/>
    <w:rsid w:val="002553CF"/>
    <w:rsid w:val="002554AD"/>
    <w:rsid w:val="00256340"/>
    <w:rsid w:val="002564F4"/>
    <w:rsid w:val="00256731"/>
    <w:rsid w:val="00256897"/>
    <w:rsid w:val="00256A14"/>
    <w:rsid w:val="00256C09"/>
    <w:rsid w:val="00256FCE"/>
    <w:rsid w:val="0025701D"/>
    <w:rsid w:val="002578A6"/>
    <w:rsid w:val="00260C74"/>
    <w:rsid w:val="00260C88"/>
    <w:rsid w:val="002611F0"/>
    <w:rsid w:val="0026130D"/>
    <w:rsid w:val="00261C66"/>
    <w:rsid w:val="002626C8"/>
    <w:rsid w:val="0026271A"/>
    <w:rsid w:val="00262771"/>
    <w:rsid w:val="0026285C"/>
    <w:rsid w:val="00262B38"/>
    <w:rsid w:val="002634DE"/>
    <w:rsid w:val="00263E5A"/>
    <w:rsid w:val="00264633"/>
    <w:rsid w:val="002647D6"/>
    <w:rsid w:val="00264ADC"/>
    <w:rsid w:val="0026530E"/>
    <w:rsid w:val="00265732"/>
    <w:rsid w:val="00265BDC"/>
    <w:rsid w:val="00265C5E"/>
    <w:rsid w:val="00266003"/>
    <w:rsid w:val="00266C51"/>
    <w:rsid w:val="00266F0C"/>
    <w:rsid w:val="0026760F"/>
    <w:rsid w:val="00267617"/>
    <w:rsid w:val="002676A9"/>
    <w:rsid w:val="00267C96"/>
    <w:rsid w:val="002704F0"/>
    <w:rsid w:val="00270C1B"/>
    <w:rsid w:val="0027172B"/>
    <w:rsid w:val="00271A82"/>
    <w:rsid w:val="00271CCD"/>
    <w:rsid w:val="00271FDF"/>
    <w:rsid w:val="002722A4"/>
    <w:rsid w:val="002722DD"/>
    <w:rsid w:val="00272876"/>
    <w:rsid w:val="002729A7"/>
    <w:rsid w:val="00272B92"/>
    <w:rsid w:val="0027388C"/>
    <w:rsid w:val="00273C5B"/>
    <w:rsid w:val="00273D19"/>
    <w:rsid w:val="00273EB3"/>
    <w:rsid w:val="00273FE0"/>
    <w:rsid w:val="00274245"/>
    <w:rsid w:val="00275608"/>
    <w:rsid w:val="0027605F"/>
    <w:rsid w:val="002768C4"/>
    <w:rsid w:val="002768D0"/>
    <w:rsid w:val="00276A8A"/>
    <w:rsid w:val="00276C20"/>
    <w:rsid w:val="00277020"/>
    <w:rsid w:val="0027716E"/>
    <w:rsid w:val="00277449"/>
    <w:rsid w:val="00277D6D"/>
    <w:rsid w:val="00280281"/>
    <w:rsid w:val="00280548"/>
    <w:rsid w:val="002805BF"/>
    <w:rsid w:val="00280615"/>
    <w:rsid w:val="00280683"/>
    <w:rsid w:val="002806E3"/>
    <w:rsid w:val="00280BFC"/>
    <w:rsid w:val="00280C02"/>
    <w:rsid w:val="00281BBA"/>
    <w:rsid w:val="00281BE1"/>
    <w:rsid w:val="00282114"/>
    <w:rsid w:val="002821D8"/>
    <w:rsid w:val="00282483"/>
    <w:rsid w:val="002824F4"/>
    <w:rsid w:val="00282935"/>
    <w:rsid w:val="0028296E"/>
    <w:rsid w:val="00282FA9"/>
    <w:rsid w:val="00283869"/>
    <w:rsid w:val="002838FC"/>
    <w:rsid w:val="00283CAD"/>
    <w:rsid w:val="00283D79"/>
    <w:rsid w:val="0028427F"/>
    <w:rsid w:val="0028459A"/>
    <w:rsid w:val="00285087"/>
    <w:rsid w:val="00285271"/>
    <w:rsid w:val="00285BB7"/>
    <w:rsid w:val="00285CAE"/>
    <w:rsid w:val="002866D5"/>
    <w:rsid w:val="00286717"/>
    <w:rsid w:val="00286B11"/>
    <w:rsid w:val="00286C8D"/>
    <w:rsid w:val="00286CBB"/>
    <w:rsid w:val="00286DC0"/>
    <w:rsid w:val="00287065"/>
    <w:rsid w:val="0028726E"/>
    <w:rsid w:val="0028733C"/>
    <w:rsid w:val="0028789C"/>
    <w:rsid w:val="00287BCA"/>
    <w:rsid w:val="00287C96"/>
    <w:rsid w:val="00287DBE"/>
    <w:rsid w:val="00287E40"/>
    <w:rsid w:val="00287F0F"/>
    <w:rsid w:val="0029002F"/>
    <w:rsid w:val="002908CE"/>
    <w:rsid w:val="00290DE9"/>
    <w:rsid w:val="002917A3"/>
    <w:rsid w:val="002918CD"/>
    <w:rsid w:val="00291A0B"/>
    <w:rsid w:val="002920B8"/>
    <w:rsid w:val="002922C2"/>
    <w:rsid w:val="002923E5"/>
    <w:rsid w:val="00292909"/>
    <w:rsid w:val="00293005"/>
    <w:rsid w:val="0029325C"/>
    <w:rsid w:val="00293566"/>
    <w:rsid w:val="00293698"/>
    <w:rsid w:val="0029380B"/>
    <w:rsid w:val="00293A0E"/>
    <w:rsid w:val="00293A73"/>
    <w:rsid w:val="00293C31"/>
    <w:rsid w:val="00294B36"/>
    <w:rsid w:val="00294E82"/>
    <w:rsid w:val="002956BF"/>
    <w:rsid w:val="0029570C"/>
    <w:rsid w:val="00295895"/>
    <w:rsid w:val="00295BAD"/>
    <w:rsid w:val="00295F5D"/>
    <w:rsid w:val="00296167"/>
    <w:rsid w:val="00296358"/>
    <w:rsid w:val="002968F7"/>
    <w:rsid w:val="00296B1A"/>
    <w:rsid w:val="00297338"/>
    <w:rsid w:val="0029751F"/>
    <w:rsid w:val="002A0187"/>
    <w:rsid w:val="002A021F"/>
    <w:rsid w:val="002A0DDA"/>
    <w:rsid w:val="002A10BB"/>
    <w:rsid w:val="002A2111"/>
    <w:rsid w:val="002A23FC"/>
    <w:rsid w:val="002A2D91"/>
    <w:rsid w:val="002A39DD"/>
    <w:rsid w:val="002A3F92"/>
    <w:rsid w:val="002A41F9"/>
    <w:rsid w:val="002A4306"/>
    <w:rsid w:val="002A591A"/>
    <w:rsid w:val="002A6908"/>
    <w:rsid w:val="002A6FB0"/>
    <w:rsid w:val="002A707E"/>
    <w:rsid w:val="002A712A"/>
    <w:rsid w:val="002A768E"/>
    <w:rsid w:val="002A7C84"/>
    <w:rsid w:val="002B0621"/>
    <w:rsid w:val="002B0B6F"/>
    <w:rsid w:val="002B0C3F"/>
    <w:rsid w:val="002B0F28"/>
    <w:rsid w:val="002B12DB"/>
    <w:rsid w:val="002B2430"/>
    <w:rsid w:val="002B2CFC"/>
    <w:rsid w:val="002B2F1A"/>
    <w:rsid w:val="002B3D51"/>
    <w:rsid w:val="002B4224"/>
    <w:rsid w:val="002B42F4"/>
    <w:rsid w:val="002B460C"/>
    <w:rsid w:val="002B50A3"/>
    <w:rsid w:val="002B5239"/>
    <w:rsid w:val="002B5481"/>
    <w:rsid w:val="002B563B"/>
    <w:rsid w:val="002B56F4"/>
    <w:rsid w:val="002B5ABF"/>
    <w:rsid w:val="002B5FF3"/>
    <w:rsid w:val="002B66FA"/>
    <w:rsid w:val="002B6BF9"/>
    <w:rsid w:val="002B7184"/>
    <w:rsid w:val="002B759C"/>
    <w:rsid w:val="002B7713"/>
    <w:rsid w:val="002B7993"/>
    <w:rsid w:val="002B7BFD"/>
    <w:rsid w:val="002B7DDB"/>
    <w:rsid w:val="002C0283"/>
    <w:rsid w:val="002C04A1"/>
    <w:rsid w:val="002C0A17"/>
    <w:rsid w:val="002C0A4E"/>
    <w:rsid w:val="002C0A5A"/>
    <w:rsid w:val="002C0D64"/>
    <w:rsid w:val="002C2641"/>
    <w:rsid w:val="002C293A"/>
    <w:rsid w:val="002C2EBB"/>
    <w:rsid w:val="002C3904"/>
    <w:rsid w:val="002C3C5A"/>
    <w:rsid w:val="002C3D5E"/>
    <w:rsid w:val="002C3FE8"/>
    <w:rsid w:val="002C45A0"/>
    <w:rsid w:val="002C464C"/>
    <w:rsid w:val="002C4A08"/>
    <w:rsid w:val="002C4CEA"/>
    <w:rsid w:val="002C53D9"/>
    <w:rsid w:val="002C59E0"/>
    <w:rsid w:val="002C5E55"/>
    <w:rsid w:val="002C6AD1"/>
    <w:rsid w:val="002C7155"/>
    <w:rsid w:val="002C7E6E"/>
    <w:rsid w:val="002C7EF7"/>
    <w:rsid w:val="002D032D"/>
    <w:rsid w:val="002D064F"/>
    <w:rsid w:val="002D0689"/>
    <w:rsid w:val="002D08AD"/>
    <w:rsid w:val="002D0AEF"/>
    <w:rsid w:val="002D1355"/>
    <w:rsid w:val="002D170D"/>
    <w:rsid w:val="002D197B"/>
    <w:rsid w:val="002D24F7"/>
    <w:rsid w:val="002D257C"/>
    <w:rsid w:val="002D264A"/>
    <w:rsid w:val="002D3F57"/>
    <w:rsid w:val="002D4549"/>
    <w:rsid w:val="002D5089"/>
    <w:rsid w:val="002D56E0"/>
    <w:rsid w:val="002D6EFD"/>
    <w:rsid w:val="002D6FD8"/>
    <w:rsid w:val="002D7296"/>
    <w:rsid w:val="002D7C73"/>
    <w:rsid w:val="002E0136"/>
    <w:rsid w:val="002E0BF4"/>
    <w:rsid w:val="002E0F4B"/>
    <w:rsid w:val="002E1374"/>
    <w:rsid w:val="002E1407"/>
    <w:rsid w:val="002E15AC"/>
    <w:rsid w:val="002E177D"/>
    <w:rsid w:val="002E187A"/>
    <w:rsid w:val="002E1F1F"/>
    <w:rsid w:val="002E2225"/>
    <w:rsid w:val="002E23AB"/>
    <w:rsid w:val="002E2AE8"/>
    <w:rsid w:val="002E2DB3"/>
    <w:rsid w:val="002E3181"/>
    <w:rsid w:val="002E3959"/>
    <w:rsid w:val="002E3BFA"/>
    <w:rsid w:val="002E489D"/>
    <w:rsid w:val="002E4A94"/>
    <w:rsid w:val="002E4F28"/>
    <w:rsid w:val="002E51D2"/>
    <w:rsid w:val="002E5B88"/>
    <w:rsid w:val="002E5FF8"/>
    <w:rsid w:val="002E6024"/>
    <w:rsid w:val="002E6217"/>
    <w:rsid w:val="002E65C4"/>
    <w:rsid w:val="002E72C0"/>
    <w:rsid w:val="002E73ED"/>
    <w:rsid w:val="002E76ED"/>
    <w:rsid w:val="002E7E4B"/>
    <w:rsid w:val="002F0357"/>
    <w:rsid w:val="002F10DF"/>
    <w:rsid w:val="002F14C6"/>
    <w:rsid w:val="002F157B"/>
    <w:rsid w:val="002F17C2"/>
    <w:rsid w:val="002F23D1"/>
    <w:rsid w:val="002F2430"/>
    <w:rsid w:val="002F25F7"/>
    <w:rsid w:val="002F274F"/>
    <w:rsid w:val="002F2A51"/>
    <w:rsid w:val="002F2DFD"/>
    <w:rsid w:val="002F30EC"/>
    <w:rsid w:val="002F39CB"/>
    <w:rsid w:val="002F3E66"/>
    <w:rsid w:val="002F445D"/>
    <w:rsid w:val="002F4F5E"/>
    <w:rsid w:val="002F5230"/>
    <w:rsid w:val="002F5F29"/>
    <w:rsid w:val="002F6216"/>
    <w:rsid w:val="002F66E4"/>
    <w:rsid w:val="002F6704"/>
    <w:rsid w:val="002F67ED"/>
    <w:rsid w:val="002F7097"/>
    <w:rsid w:val="002F73F0"/>
    <w:rsid w:val="002F7B06"/>
    <w:rsid w:val="0030005E"/>
    <w:rsid w:val="003004BF"/>
    <w:rsid w:val="003005A5"/>
    <w:rsid w:val="00300A71"/>
    <w:rsid w:val="00301808"/>
    <w:rsid w:val="00301ACD"/>
    <w:rsid w:val="00302CAE"/>
    <w:rsid w:val="00303A2D"/>
    <w:rsid w:val="00303C34"/>
    <w:rsid w:val="00304094"/>
    <w:rsid w:val="00304177"/>
    <w:rsid w:val="003043A8"/>
    <w:rsid w:val="003049E3"/>
    <w:rsid w:val="0030608F"/>
    <w:rsid w:val="00306103"/>
    <w:rsid w:val="003061E7"/>
    <w:rsid w:val="003067A1"/>
    <w:rsid w:val="003069D0"/>
    <w:rsid w:val="00306B87"/>
    <w:rsid w:val="00306C7D"/>
    <w:rsid w:val="00307205"/>
    <w:rsid w:val="003073C7"/>
    <w:rsid w:val="0030759F"/>
    <w:rsid w:val="0031048A"/>
    <w:rsid w:val="0031050C"/>
    <w:rsid w:val="00310BA1"/>
    <w:rsid w:val="00311169"/>
    <w:rsid w:val="00311197"/>
    <w:rsid w:val="0031154A"/>
    <w:rsid w:val="00311A56"/>
    <w:rsid w:val="00311F89"/>
    <w:rsid w:val="00312221"/>
    <w:rsid w:val="00312B79"/>
    <w:rsid w:val="003130D6"/>
    <w:rsid w:val="003136E4"/>
    <w:rsid w:val="00313781"/>
    <w:rsid w:val="003141B7"/>
    <w:rsid w:val="003146C2"/>
    <w:rsid w:val="00315A2E"/>
    <w:rsid w:val="0031647B"/>
    <w:rsid w:val="0031663A"/>
    <w:rsid w:val="0031673F"/>
    <w:rsid w:val="00317209"/>
    <w:rsid w:val="00317261"/>
    <w:rsid w:val="0031764B"/>
    <w:rsid w:val="00317A6E"/>
    <w:rsid w:val="00320296"/>
    <w:rsid w:val="00320BD1"/>
    <w:rsid w:val="00321734"/>
    <w:rsid w:val="0032230B"/>
    <w:rsid w:val="003223BD"/>
    <w:rsid w:val="00322833"/>
    <w:rsid w:val="003231D3"/>
    <w:rsid w:val="00323772"/>
    <w:rsid w:val="00323BBA"/>
    <w:rsid w:val="00323CF4"/>
    <w:rsid w:val="00323DD8"/>
    <w:rsid w:val="00323EF6"/>
    <w:rsid w:val="00324098"/>
    <w:rsid w:val="00324515"/>
    <w:rsid w:val="00324A43"/>
    <w:rsid w:val="00326064"/>
    <w:rsid w:val="003264DF"/>
    <w:rsid w:val="003268CD"/>
    <w:rsid w:val="00326DF7"/>
    <w:rsid w:val="0032733C"/>
    <w:rsid w:val="00327B5A"/>
    <w:rsid w:val="003301AC"/>
    <w:rsid w:val="00330211"/>
    <w:rsid w:val="003305F0"/>
    <w:rsid w:val="00331154"/>
    <w:rsid w:val="0033151B"/>
    <w:rsid w:val="003319E5"/>
    <w:rsid w:val="00331A69"/>
    <w:rsid w:val="003320D4"/>
    <w:rsid w:val="003323BE"/>
    <w:rsid w:val="003325F9"/>
    <w:rsid w:val="00332917"/>
    <w:rsid w:val="00332DF9"/>
    <w:rsid w:val="00332E0D"/>
    <w:rsid w:val="00333028"/>
    <w:rsid w:val="00333401"/>
    <w:rsid w:val="0033361C"/>
    <w:rsid w:val="003337F2"/>
    <w:rsid w:val="00333AF6"/>
    <w:rsid w:val="00333EEA"/>
    <w:rsid w:val="00333F93"/>
    <w:rsid w:val="00334DC9"/>
    <w:rsid w:val="00335344"/>
    <w:rsid w:val="00335708"/>
    <w:rsid w:val="0033593D"/>
    <w:rsid w:val="003359AF"/>
    <w:rsid w:val="00335A0E"/>
    <w:rsid w:val="003360FC"/>
    <w:rsid w:val="00336C5B"/>
    <w:rsid w:val="00336ED2"/>
    <w:rsid w:val="00336F56"/>
    <w:rsid w:val="00337325"/>
    <w:rsid w:val="0033755B"/>
    <w:rsid w:val="00337BDF"/>
    <w:rsid w:val="00340853"/>
    <w:rsid w:val="00340BAF"/>
    <w:rsid w:val="00341A6C"/>
    <w:rsid w:val="00341F06"/>
    <w:rsid w:val="00341FBD"/>
    <w:rsid w:val="0034207B"/>
    <w:rsid w:val="0034215D"/>
    <w:rsid w:val="0034216E"/>
    <w:rsid w:val="003422AE"/>
    <w:rsid w:val="003422BB"/>
    <w:rsid w:val="00342437"/>
    <w:rsid w:val="0034248D"/>
    <w:rsid w:val="0034255A"/>
    <w:rsid w:val="003426A1"/>
    <w:rsid w:val="00342A60"/>
    <w:rsid w:val="00342F33"/>
    <w:rsid w:val="00342FCD"/>
    <w:rsid w:val="003440EE"/>
    <w:rsid w:val="003446C5"/>
    <w:rsid w:val="003447C2"/>
    <w:rsid w:val="00344974"/>
    <w:rsid w:val="00344976"/>
    <w:rsid w:val="00344A7A"/>
    <w:rsid w:val="003459FF"/>
    <w:rsid w:val="00345ED1"/>
    <w:rsid w:val="003461C7"/>
    <w:rsid w:val="0034682E"/>
    <w:rsid w:val="00346B73"/>
    <w:rsid w:val="00346BF6"/>
    <w:rsid w:val="00346D3E"/>
    <w:rsid w:val="00346DE2"/>
    <w:rsid w:val="00347C95"/>
    <w:rsid w:val="00350934"/>
    <w:rsid w:val="003509A8"/>
    <w:rsid w:val="0035116B"/>
    <w:rsid w:val="003518B3"/>
    <w:rsid w:val="00352648"/>
    <w:rsid w:val="00352986"/>
    <w:rsid w:val="00353428"/>
    <w:rsid w:val="00353C75"/>
    <w:rsid w:val="0035411F"/>
    <w:rsid w:val="0035417C"/>
    <w:rsid w:val="0035429A"/>
    <w:rsid w:val="003544D9"/>
    <w:rsid w:val="0035468E"/>
    <w:rsid w:val="003547FB"/>
    <w:rsid w:val="00355725"/>
    <w:rsid w:val="00355C45"/>
    <w:rsid w:val="00355CAD"/>
    <w:rsid w:val="0035627A"/>
    <w:rsid w:val="00356410"/>
    <w:rsid w:val="00356468"/>
    <w:rsid w:val="00356504"/>
    <w:rsid w:val="00357381"/>
    <w:rsid w:val="00357B20"/>
    <w:rsid w:val="00357B89"/>
    <w:rsid w:val="00357E47"/>
    <w:rsid w:val="0036004B"/>
    <w:rsid w:val="00360574"/>
    <w:rsid w:val="003608AD"/>
    <w:rsid w:val="003609BF"/>
    <w:rsid w:val="00361B74"/>
    <w:rsid w:val="00361C8F"/>
    <w:rsid w:val="00361CAF"/>
    <w:rsid w:val="00361F68"/>
    <w:rsid w:val="00362398"/>
    <w:rsid w:val="00362471"/>
    <w:rsid w:val="003625F5"/>
    <w:rsid w:val="0036291C"/>
    <w:rsid w:val="00362ED1"/>
    <w:rsid w:val="00362F0C"/>
    <w:rsid w:val="00363C9B"/>
    <w:rsid w:val="0036438A"/>
    <w:rsid w:val="003645BD"/>
    <w:rsid w:val="0036496E"/>
    <w:rsid w:val="00364A1F"/>
    <w:rsid w:val="00364E4D"/>
    <w:rsid w:val="003653E9"/>
    <w:rsid w:val="00365AEB"/>
    <w:rsid w:val="0036643D"/>
    <w:rsid w:val="003664A6"/>
    <w:rsid w:val="00366617"/>
    <w:rsid w:val="00366B3D"/>
    <w:rsid w:val="003673D5"/>
    <w:rsid w:val="0036756F"/>
    <w:rsid w:val="00367D76"/>
    <w:rsid w:val="0037028A"/>
    <w:rsid w:val="00370466"/>
    <w:rsid w:val="00370AFE"/>
    <w:rsid w:val="003711FD"/>
    <w:rsid w:val="0037130B"/>
    <w:rsid w:val="00371430"/>
    <w:rsid w:val="003720D8"/>
    <w:rsid w:val="00372323"/>
    <w:rsid w:val="00372430"/>
    <w:rsid w:val="00372566"/>
    <w:rsid w:val="00372B52"/>
    <w:rsid w:val="00372D30"/>
    <w:rsid w:val="003735D0"/>
    <w:rsid w:val="0037426E"/>
    <w:rsid w:val="003743B7"/>
    <w:rsid w:val="0037458C"/>
    <w:rsid w:val="00374AB5"/>
    <w:rsid w:val="003756B5"/>
    <w:rsid w:val="003757FE"/>
    <w:rsid w:val="00375B4A"/>
    <w:rsid w:val="0037647D"/>
    <w:rsid w:val="0037676D"/>
    <w:rsid w:val="00376FF9"/>
    <w:rsid w:val="00377285"/>
    <w:rsid w:val="00377345"/>
    <w:rsid w:val="00377B50"/>
    <w:rsid w:val="00381224"/>
    <w:rsid w:val="00381DF5"/>
    <w:rsid w:val="00382186"/>
    <w:rsid w:val="0038252B"/>
    <w:rsid w:val="00382E13"/>
    <w:rsid w:val="003837A7"/>
    <w:rsid w:val="00383971"/>
    <w:rsid w:val="00383F67"/>
    <w:rsid w:val="003841BE"/>
    <w:rsid w:val="0038428C"/>
    <w:rsid w:val="00384491"/>
    <w:rsid w:val="00384503"/>
    <w:rsid w:val="003849D2"/>
    <w:rsid w:val="00384ACD"/>
    <w:rsid w:val="00384F0F"/>
    <w:rsid w:val="003855E5"/>
    <w:rsid w:val="003857F4"/>
    <w:rsid w:val="00385986"/>
    <w:rsid w:val="00385C4C"/>
    <w:rsid w:val="00385E7F"/>
    <w:rsid w:val="00386365"/>
    <w:rsid w:val="003864A5"/>
    <w:rsid w:val="003865A9"/>
    <w:rsid w:val="0038740D"/>
    <w:rsid w:val="00387668"/>
    <w:rsid w:val="003877A5"/>
    <w:rsid w:val="00387A7F"/>
    <w:rsid w:val="00390420"/>
    <w:rsid w:val="003908C6"/>
    <w:rsid w:val="00390C03"/>
    <w:rsid w:val="00391055"/>
    <w:rsid w:val="003914F7"/>
    <w:rsid w:val="00391E81"/>
    <w:rsid w:val="00391EF5"/>
    <w:rsid w:val="003921C4"/>
    <w:rsid w:val="00392983"/>
    <w:rsid w:val="00393771"/>
    <w:rsid w:val="0039380A"/>
    <w:rsid w:val="003938EC"/>
    <w:rsid w:val="00393B7E"/>
    <w:rsid w:val="00393DCF"/>
    <w:rsid w:val="003940A2"/>
    <w:rsid w:val="0039496D"/>
    <w:rsid w:val="00394A7D"/>
    <w:rsid w:val="00394FE2"/>
    <w:rsid w:val="00395580"/>
    <w:rsid w:val="003958C6"/>
    <w:rsid w:val="00395A9E"/>
    <w:rsid w:val="00395FB1"/>
    <w:rsid w:val="00396479"/>
    <w:rsid w:val="00396757"/>
    <w:rsid w:val="003967E6"/>
    <w:rsid w:val="00396FE3"/>
    <w:rsid w:val="00397233"/>
    <w:rsid w:val="003A1099"/>
    <w:rsid w:val="003A138F"/>
    <w:rsid w:val="003A151D"/>
    <w:rsid w:val="003A15BA"/>
    <w:rsid w:val="003A1841"/>
    <w:rsid w:val="003A1C76"/>
    <w:rsid w:val="003A1EFD"/>
    <w:rsid w:val="003A2404"/>
    <w:rsid w:val="003A26BD"/>
    <w:rsid w:val="003A3933"/>
    <w:rsid w:val="003A3CB1"/>
    <w:rsid w:val="003A3EA5"/>
    <w:rsid w:val="003A4298"/>
    <w:rsid w:val="003A43A9"/>
    <w:rsid w:val="003A46BA"/>
    <w:rsid w:val="003A515F"/>
    <w:rsid w:val="003A52A7"/>
    <w:rsid w:val="003A5552"/>
    <w:rsid w:val="003A59B3"/>
    <w:rsid w:val="003A69F3"/>
    <w:rsid w:val="003A6D01"/>
    <w:rsid w:val="003A70E8"/>
    <w:rsid w:val="003A75BF"/>
    <w:rsid w:val="003A763C"/>
    <w:rsid w:val="003A7867"/>
    <w:rsid w:val="003A7A75"/>
    <w:rsid w:val="003B00FC"/>
    <w:rsid w:val="003B159D"/>
    <w:rsid w:val="003B23C0"/>
    <w:rsid w:val="003B2506"/>
    <w:rsid w:val="003B331F"/>
    <w:rsid w:val="003B333C"/>
    <w:rsid w:val="003B3AA0"/>
    <w:rsid w:val="003B42DE"/>
    <w:rsid w:val="003B444F"/>
    <w:rsid w:val="003B47D8"/>
    <w:rsid w:val="003B4E3C"/>
    <w:rsid w:val="003B599A"/>
    <w:rsid w:val="003B5A96"/>
    <w:rsid w:val="003B5E08"/>
    <w:rsid w:val="003B6E24"/>
    <w:rsid w:val="003B6FF4"/>
    <w:rsid w:val="003B7094"/>
    <w:rsid w:val="003B7690"/>
    <w:rsid w:val="003C0050"/>
    <w:rsid w:val="003C007E"/>
    <w:rsid w:val="003C04DE"/>
    <w:rsid w:val="003C0644"/>
    <w:rsid w:val="003C0992"/>
    <w:rsid w:val="003C0E38"/>
    <w:rsid w:val="003C0E3A"/>
    <w:rsid w:val="003C0E78"/>
    <w:rsid w:val="003C0EDF"/>
    <w:rsid w:val="003C0F9F"/>
    <w:rsid w:val="003C1163"/>
    <w:rsid w:val="003C1465"/>
    <w:rsid w:val="003C157D"/>
    <w:rsid w:val="003C1A67"/>
    <w:rsid w:val="003C2106"/>
    <w:rsid w:val="003C22FD"/>
    <w:rsid w:val="003C2647"/>
    <w:rsid w:val="003C274F"/>
    <w:rsid w:val="003C27B3"/>
    <w:rsid w:val="003C2919"/>
    <w:rsid w:val="003C2B23"/>
    <w:rsid w:val="003C311A"/>
    <w:rsid w:val="003C3884"/>
    <w:rsid w:val="003C3CCC"/>
    <w:rsid w:val="003C4049"/>
    <w:rsid w:val="003C4061"/>
    <w:rsid w:val="003C40AC"/>
    <w:rsid w:val="003C4954"/>
    <w:rsid w:val="003C514F"/>
    <w:rsid w:val="003C51F6"/>
    <w:rsid w:val="003C58DC"/>
    <w:rsid w:val="003C5F55"/>
    <w:rsid w:val="003C5FC3"/>
    <w:rsid w:val="003C63B8"/>
    <w:rsid w:val="003C69E1"/>
    <w:rsid w:val="003C6C32"/>
    <w:rsid w:val="003C765F"/>
    <w:rsid w:val="003C7698"/>
    <w:rsid w:val="003C79FF"/>
    <w:rsid w:val="003D0046"/>
    <w:rsid w:val="003D0132"/>
    <w:rsid w:val="003D0328"/>
    <w:rsid w:val="003D0986"/>
    <w:rsid w:val="003D1B0E"/>
    <w:rsid w:val="003D1BC2"/>
    <w:rsid w:val="003D202B"/>
    <w:rsid w:val="003D2A14"/>
    <w:rsid w:val="003D2D5A"/>
    <w:rsid w:val="003D3928"/>
    <w:rsid w:val="003D45CA"/>
    <w:rsid w:val="003D46C7"/>
    <w:rsid w:val="003D576B"/>
    <w:rsid w:val="003D592A"/>
    <w:rsid w:val="003D605B"/>
    <w:rsid w:val="003D6766"/>
    <w:rsid w:val="003D6935"/>
    <w:rsid w:val="003D6DBF"/>
    <w:rsid w:val="003D6F49"/>
    <w:rsid w:val="003D7042"/>
    <w:rsid w:val="003D7631"/>
    <w:rsid w:val="003D76F9"/>
    <w:rsid w:val="003D7EA0"/>
    <w:rsid w:val="003E1100"/>
    <w:rsid w:val="003E1B26"/>
    <w:rsid w:val="003E20BE"/>
    <w:rsid w:val="003E245F"/>
    <w:rsid w:val="003E267B"/>
    <w:rsid w:val="003E26B8"/>
    <w:rsid w:val="003E297C"/>
    <w:rsid w:val="003E29A1"/>
    <w:rsid w:val="003E2A09"/>
    <w:rsid w:val="003E3196"/>
    <w:rsid w:val="003E384C"/>
    <w:rsid w:val="003E3E95"/>
    <w:rsid w:val="003E3EDC"/>
    <w:rsid w:val="003E450D"/>
    <w:rsid w:val="003E45AD"/>
    <w:rsid w:val="003E4B14"/>
    <w:rsid w:val="003E5B52"/>
    <w:rsid w:val="003E5C10"/>
    <w:rsid w:val="003E5DD0"/>
    <w:rsid w:val="003E5E66"/>
    <w:rsid w:val="003E62D4"/>
    <w:rsid w:val="003E6453"/>
    <w:rsid w:val="003E655B"/>
    <w:rsid w:val="003E6D56"/>
    <w:rsid w:val="003E6DD4"/>
    <w:rsid w:val="003E6F33"/>
    <w:rsid w:val="003E787A"/>
    <w:rsid w:val="003E7BC5"/>
    <w:rsid w:val="003E7FB2"/>
    <w:rsid w:val="003F00CE"/>
    <w:rsid w:val="003F0787"/>
    <w:rsid w:val="003F0BB1"/>
    <w:rsid w:val="003F0CB2"/>
    <w:rsid w:val="003F1053"/>
    <w:rsid w:val="003F1542"/>
    <w:rsid w:val="003F1B37"/>
    <w:rsid w:val="003F1DF2"/>
    <w:rsid w:val="003F2680"/>
    <w:rsid w:val="003F26B8"/>
    <w:rsid w:val="003F372D"/>
    <w:rsid w:val="003F3F9C"/>
    <w:rsid w:val="003F4742"/>
    <w:rsid w:val="003F54BE"/>
    <w:rsid w:val="003F5608"/>
    <w:rsid w:val="003F5883"/>
    <w:rsid w:val="003F58A0"/>
    <w:rsid w:val="003F61A3"/>
    <w:rsid w:val="003F637F"/>
    <w:rsid w:val="003F6A92"/>
    <w:rsid w:val="003F6C12"/>
    <w:rsid w:val="003F6C37"/>
    <w:rsid w:val="003F6E98"/>
    <w:rsid w:val="003F720E"/>
    <w:rsid w:val="003F73F8"/>
    <w:rsid w:val="003F7DC2"/>
    <w:rsid w:val="00400537"/>
    <w:rsid w:val="0040072E"/>
    <w:rsid w:val="00400A38"/>
    <w:rsid w:val="00400AFB"/>
    <w:rsid w:val="004011EA"/>
    <w:rsid w:val="00401716"/>
    <w:rsid w:val="00401950"/>
    <w:rsid w:val="00401964"/>
    <w:rsid w:val="0040230F"/>
    <w:rsid w:val="0040289B"/>
    <w:rsid w:val="00402DA4"/>
    <w:rsid w:val="00403016"/>
    <w:rsid w:val="00403068"/>
    <w:rsid w:val="004037F3"/>
    <w:rsid w:val="00403DB3"/>
    <w:rsid w:val="004041CE"/>
    <w:rsid w:val="004046F3"/>
    <w:rsid w:val="00404891"/>
    <w:rsid w:val="00404ACE"/>
    <w:rsid w:val="00404C5F"/>
    <w:rsid w:val="00404F10"/>
    <w:rsid w:val="00405775"/>
    <w:rsid w:val="00405B2F"/>
    <w:rsid w:val="00406140"/>
    <w:rsid w:val="00406F2B"/>
    <w:rsid w:val="004074CA"/>
    <w:rsid w:val="004078E4"/>
    <w:rsid w:val="00407B8A"/>
    <w:rsid w:val="00407D48"/>
    <w:rsid w:val="00410461"/>
    <w:rsid w:val="00410DD5"/>
    <w:rsid w:val="00410E03"/>
    <w:rsid w:val="00411F46"/>
    <w:rsid w:val="00412224"/>
    <w:rsid w:val="0041280E"/>
    <w:rsid w:val="00413185"/>
    <w:rsid w:val="0041322E"/>
    <w:rsid w:val="004135BB"/>
    <w:rsid w:val="004139CA"/>
    <w:rsid w:val="004146D2"/>
    <w:rsid w:val="004147BE"/>
    <w:rsid w:val="00415039"/>
    <w:rsid w:val="004156BE"/>
    <w:rsid w:val="0041581B"/>
    <w:rsid w:val="00415E5F"/>
    <w:rsid w:val="00416146"/>
    <w:rsid w:val="00416B59"/>
    <w:rsid w:val="00416F44"/>
    <w:rsid w:val="0041700F"/>
    <w:rsid w:val="004170F4"/>
    <w:rsid w:val="004173DF"/>
    <w:rsid w:val="00420448"/>
    <w:rsid w:val="00420BD6"/>
    <w:rsid w:val="00421667"/>
    <w:rsid w:val="004216F0"/>
    <w:rsid w:val="00422CD9"/>
    <w:rsid w:val="0042386F"/>
    <w:rsid w:val="00424361"/>
    <w:rsid w:val="00424891"/>
    <w:rsid w:val="004249AE"/>
    <w:rsid w:val="004249E4"/>
    <w:rsid w:val="00424AEF"/>
    <w:rsid w:val="00425287"/>
    <w:rsid w:val="0042544A"/>
    <w:rsid w:val="00425664"/>
    <w:rsid w:val="0042566F"/>
    <w:rsid w:val="004259E7"/>
    <w:rsid w:val="00425BDF"/>
    <w:rsid w:val="00426153"/>
    <w:rsid w:val="00426F53"/>
    <w:rsid w:val="004277AF"/>
    <w:rsid w:val="0042781E"/>
    <w:rsid w:val="00427A37"/>
    <w:rsid w:val="00427ACD"/>
    <w:rsid w:val="00427CE0"/>
    <w:rsid w:val="00427F06"/>
    <w:rsid w:val="00430466"/>
    <w:rsid w:val="00430C46"/>
    <w:rsid w:val="00431084"/>
    <w:rsid w:val="004316F7"/>
    <w:rsid w:val="00431F36"/>
    <w:rsid w:val="00431FCC"/>
    <w:rsid w:val="0043231B"/>
    <w:rsid w:val="0043240F"/>
    <w:rsid w:val="004325C0"/>
    <w:rsid w:val="00432BEE"/>
    <w:rsid w:val="00432E4A"/>
    <w:rsid w:val="004332CE"/>
    <w:rsid w:val="00433449"/>
    <w:rsid w:val="00433886"/>
    <w:rsid w:val="0043400E"/>
    <w:rsid w:val="0043416E"/>
    <w:rsid w:val="00434539"/>
    <w:rsid w:val="00434DF3"/>
    <w:rsid w:val="004350F8"/>
    <w:rsid w:val="00435CCF"/>
    <w:rsid w:val="004365A3"/>
    <w:rsid w:val="00436971"/>
    <w:rsid w:val="00437413"/>
    <w:rsid w:val="00437856"/>
    <w:rsid w:val="00437C4C"/>
    <w:rsid w:val="00437EFA"/>
    <w:rsid w:val="00440C09"/>
    <w:rsid w:val="0044149E"/>
    <w:rsid w:val="00441635"/>
    <w:rsid w:val="00442AFA"/>
    <w:rsid w:val="00442B85"/>
    <w:rsid w:val="00443835"/>
    <w:rsid w:val="00443A57"/>
    <w:rsid w:val="0044418E"/>
    <w:rsid w:val="00444455"/>
    <w:rsid w:val="00444D03"/>
    <w:rsid w:val="00444D8F"/>
    <w:rsid w:val="004454E5"/>
    <w:rsid w:val="00445895"/>
    <w:rsid w:val="004459F0"/>
    <w:rsid w:val="00445D3C"/>
    <w:rsid w:val="00445E10"/>
    <w:rsid w:val="00445FE1"/>
    <w:rsid w:val="0044626A"/>
    <w:rsid w:val="00446B13"/>
    <w:rsid w:val="00446B89"/>
    <w:rsid w:val="0044705F"/>
    <w:rsid w:val="004470CA"/>
    <w:rsid w:val="00447255"/>
    <w:rsid w:val="0044758A"/>
    <w:rsid w:val="004478FC"/>
    <w:rsid w:val="004479F2"/>
    <w:rsid w:val="00447C86"/>
    <w:rsid w:val="00450BEA"/>
    <w:rsid w:val="00450C0B"/>
    <w:rsid w:val="0045112C"/>
    <w:rsid w:val="00451144"/>
    <w:rsid w:val="00451445"/>
    <w:rsid w:val="004517E8"/>
    <w:rsid w:val="0045191A"/>
    <w:rsid w:val="0045194E"/>
    <w:rsid w:val="00451DA0"/>
    <w:rsid w:val="00452380"/>
    <w:rsid w:val="00452F35"/>
    <w:rsid w:val="004536B8"/>
    <w:rsid w:val="004536E9"/>
    <w:rsid w:val="00453D37"/>
    <w:rsid w:val="00454468"/>
    <w:rsid w:val="0045451E"/>
    <w:rsid w:val="004547CD"/>
    <w:rsid w:val="00454A9D"/>
    <w:rsid w:val="00454E2E"/>
    <w:rsid w:val="004557EA"/>
    <w:rsid w:val="004559EF"/>
    <w:rsid w:val="00455C50"/>
    <w:rsid w:val="0045634D"/>
    <w:rsid w:val="00456376"/>
    <w:rsid w:val="00456427"/>
    <w:rsid w:val="0045665C"/>
    <w:rsid w:val="00456905"/>
    <w:rsid w:val="00456CB0"/>
    <w:rsid w:val="00457727"/>
    <w:rsid w:val="00457842"/>
    <w:rsid w:val="00457C4F"/>
    <w:rsid w:val="00457D9B"/>
    <w:rsid w:val="00457EEC"/>
    <w:rsid w:val="00460BFC"/>
    <w:rsid w:val="00460C1D"/>
    <w:rsid w:val="00460EF5"/>
    <w:rsid w:val="00461E15"/>
    <w:rsid w:val="00462149"/>
    <w:rsid w:val="004621E6"/>
    <w:rsid w:val="0046235E"/>
    <w:rsid w:val="004628D4"/>
    <w:rsid w:val="00462DAB"/>
    <w:rsid w:val="0046345A"/>
    <w:rsid w:val="0046390E"/>
    <w:rsid w:val="00463BC3"/>
    <w:rsid w:val="00463C21"/>
    <w:rsid w:val="00463C3A"/>
    <w:rsid w:val="00463DE6"/>
    <w:rsid w:val="00465630"/>
    <w:rsid w:val="00465E6C"/>
    <w:rsid w:val="00466482"/>
    <w:rsid w:val="004674B6"/>
    <w:rsid w:val="0046776A"/>
    <w:rsid w:val="004702D2"/>
    <w:rsid w:val="00470954"/>
    <w:rsid w:val="004720DD"/>
    <w:rsid w:val="004734ED"/>
    <w:rsid w:val="004736E8"/>
    <w:rsid w:val="00473A5F"/>
    <w:rsid w:val="00473B9B"/>
    <w:rsid w:val="00473F94"/>
    <w:rsid w:val="0047419D"/>
    <w:rsid w:val="00474376"/>
    <w:rsid w:val="004746BD"/>
    <w:rsid w:val="00474FC3"/>
    <w:rsid w:val="00475307"/>
    <w:rsid w:val="0047541C"/>
    <w:rsid w:val="004754B8"/>
    <w:rsid w:val="00475615"/>
    <w:rsid w:val="00475B39"/>
    <w:rsid w:val="00475B7E"/>
    <w:rsid w:val="0047610B"/>
    <w:rsid w:val="00476490"/>
    <w:rsid w:val="0047681C"/>
    <w:rsid w:val="00476CD7"/>
    <w:rsid w:val="00476D86"/>
    <w:rsid w:val="00477148"/>
    <w:rsid w:val="0047770A"/>
    <w:rsid w:val="00477AA2"/>
    <w:rsid w:val="00477FDF"/>
    <w:rsid w:val="0048023D"/>
    <w:rsid w:val="004809D0"/>
    <w:rsid w:val="0048176F"/>
    <w:rsid w:val="00481900"/>
    <w:rsid w:val="00481D58"/>
    <w:rsid w:val="00481D9B"/>
    <w:rsid w:val="004821F7"/>
    <w:rsid w:val="004826E7"/>
    <w:rsid w:val="00482877"/>
    <w:rsid w:val="0048290D"/>
    <w:rsid w:val="00483E89"/>
    <w:rsid w:val="00483FB2"/>
    <w:rsid w:val="004840D8"/>
    <w:rsid w:val="00484119"/>
    <w:rsid w:val="004842CF"/>
    <w:rsid w:val="00484A41"/>
    <w:rsid w:val="00485209"/>
    <w:rsid w:val="004854F1"/>
    <w:rsid w:val="00485B3A"/>
    <w:rsid w:val="00486873"/>
    <w:rsid w:val="00486E8D"/>
    <w:rsid w:val="004871A8"/>
    <w:rsid w:val="004873F6"/>
    <w:rsid w:val="00487BFD"/>
    <w:rsid w:val="0049068D"/>
    <w:rsid w:val="004907C0"/>
    <w:rsid w:val="00490CC8"/>
    <w:rsid w:val="00491B00"/>
    <w:rsid w:val="00491EE0"/>
    <w:rsid w:val="0049257E"/>
    <w:rsid w:val="004930B3"/>
    <w:rsid w:val="004930BF"/>
    <w:rsid w:val="004932AD"/>
    <w:rsid w:val="004942FA"/>
    <w:rsid w:val="0049624B"/>
    <w:rsid w:val="00496958"/>
    <w:rsid w:val="00497107"/>
    <w:rsid w:val="00497317"/>
    <w:rsid w:val="004979C0"/>
    <w:rsid w:val="004A04E3"/>
    <w:rsid w:val="004A0628"/>
    <w:rsid w:val="004A0666"/>
    <w:rsid w:val="004A08CB"/>
    <w:rsid w:val="004A10F1"/>
    <w:rsid w:val="004A1176"/>
    <w:rsid w:val="004A14E0"/>
    <w:rsid w:val="004A15A3"/>
    <w:rsid w:val="004A164B"/>
    <w:rsid w:val="004A18BA"/>
    <w:rsid w:val="004A2109"/>
    <w:rsid w:val="004A3047"/>
    <w:rsid w:val="004A36C3"/>
    <w:rsid w:val="004A3904"/>
    <w:rsid w:val="004A39B8"/>
    <w:rsid w:val="004A3A50"/>
    <w:rsid w:val="004A3E25"/>
    <w:rsid w:val="004A6792"/>
    <w:rsid w:val="004A6D72"/>
    <w:rsid w:val="004A6FBB"/>
    <w:rsid w:val="004A7367"/>
    <w:rsid w:val="004A76C8"/>
    <w:rsid w:val="004A7923"/>
    <w:rsid w:val="004A7BF0"/>
    <w:rsid w:val="004A7EEC"/>
    <w:rsid w:val="004A7FF4"/>
    <w:rsid w:val="004B0084"/>
    <w:rsid w:val="004B023B"/>
    <w:rsid w:val="004B0D00"/>
    <w:rsid w:val="004B0D6C"/>
    <w:rsid w:val="004B10BE"/>
    <w:rsid w:val="004B1219"/>
    <w:rsid w:val="004B1B22"/>
    <w:rsid w:val="004B2193"/>
    <w:rsid w:val="004B21CA"/>
    <w:rsid w:val="004B2CA4"/>
    <w:rsid w:val="004B2ED1"/>
    <w:rsid w:val="004B402F"/>
    <w:rsid w:val="004B45A6"/>
    <w:rsid w:val="004B4974"/>
    <w:rsid w:val="004B49E4"/>
    <w:rsid w:val="004B5302"/>
    <w:rsid w:val="004B539F"/>
    <w:rsid w:val="004B5630"/>
    <w:rsid w:val="004B56CE"/>
    <w:rsid w:val="004B56D4"/>
    <w:rsid w:val="004B5E91"/>
    <w:rsid w:val="004B64DC"/>
    <w:rsid w:val="004B65AA"/>
    <w:rsid w:val="004B6DDF"/>
    <w:rsid w:val="004B6E19"/>
    <w:rsid w:val="004B790A"/>
    <w:rsid w:val="004C007B"/>
    <w:rsid w:val="004C069A"/>
    <w:rsid w:val="004C17A7"/>
    <w:rsid w:val="004C1BAA"/>
    <w:rsid w:val="004C27B5"/>
    <w:rsid w:val="004C315B"/>
    <w:rsid w:val="004C31C4"/>
    <w:rsid w:val="004C3329"/>
    <w:rsid w:val="004C436D"/>
    <w:rsid w:val="004C44BA"/>
    <w:rsid w:val="004C54FE"/>
    <w:rsid w:val="004C58C6"/>
    <w:rsid w:val="004C5C35"/>
    <w:rsid w:val="004C6298"/>
    <w:rsid w:val="004C6B25"/>
    <w:rsid w:val="004C77E0"/>
    <w:rsid w:val="004C7960"/>
    <w:rsid w:val="004C7CB1"/>
    <w:rsid w:val="004C7D2E"/>
    <w:rsid w:val="004C7F84"/>
    <w:rsid w:val="004D08C0"/>
    <w:rsid w:val="004D0A27"/>
    <w:rsid w:val="004D0B6F"/>
    <w:rsid w:val="004D0BBA"/>
    <w:rsid w:val="004D0E97"/>
    <w:rsid w:val="004D14D2"/>
    <w:rsid w:val="004D201C"/>
    <w:rsid w:val="004D2C45"/>
    <w:rsid w:val="004D32CF"/>
    <w:rsid w:val="004D34EC"/>
    <w:rsid w:val="004D41C4"/>
    <w:rsid w:val="004D430A"/>
    <w:rsid w:val="004D441B"/>
    <w:rsid w:val="004D4547"/>
    <w:rsid w:val="004D4659"/>
    <w:rsid w:val="004D48B0"/>
    <w:rsid w:val="004D4B1D"/>
    <w:rsid w:val="004D4D41"/>
    <w:rsid w:val="004D536A"/>
    <w:rsid w:val="004D5CEC"/>
    <w:rsid w:val="004D5CFB"/>
    <w:rsid w:val="004D6B51"/>
    <w:rsid w:val="004D7362"/>
    <w:rsid w:val="004D75EC"/>
    <w:rsid w:val="004D7839"/>
    <w:rsid w:val="004D79C9"/>
    <w:rsid w:val="004D7BD0"/>
    <w:rsid w:val="004D7C46"/>
    <w:rsid w:val="004D7F42"/>
    <w:rsid w:val="004E002B"/>
    <w:rsid w:val="004E0B86"/>
    <w:rsid w:val="004E0FEC"/>
    <w:rsid w:val="004E11A9"/>
    <w:rsid w:val="004E28F6"/>
    <w:rsid w:val="004E32AB"/>
    <w:rsid w:val="004E32DD"/>
    <w:rsid w:val="004E506C"/>
    <w:rsid w:val="004E54FF"/>
    <w:rsid w:val="004E5812"/>
    <w:rsid w:val="004E5E94"/>
    <w:rsid w:val="004E654D"/>
    <w:rsid w:val="004E6A5F"/>
    <w:rsid w:val="004E6D13"/>
    <w:rsid w:val="004E7402"/>
    <w:rsid w:val="004E7EC7"/>
    <w:rsid w:val="004F00EF"/>
    <w:rsid w:val="004F0D22"/>
    <w:rsid w:val="004F0EF2"/>
    <w:rsid w:val="004F0F8B"/>
    <w:rsid w:val="004F109C"/>
    <w:rsid w:val="004F149F"/>
    <w:rsid w:val="004F1964"/>
    <w:rsid w:val="004F197C"/>
    <w:rsid w:val="004F27E1"/>
    <w:rsid w:val="004F2EF4"/>
    <w:rsid w:val="004F304E"/>
    <w:rsid w:val="004F3505"/>
    <w:rsid w:val="004F3EDF"/>
    <w:rsid w:val="004F44D5"/>
    <w:rsid w:val="004F461D"/>
    <w:rsid w:val="004F48E4"/>
    <w:rsid w:val="004F5CE1"/>
    <w:rsid w:val="004F72A9"/>
    <w:rsid w:val="004F7E14"/>
    <w:rsid w:val="005005DD"/>
    <w:rsid w:val="005006C0"/>
    <w:rsid w:val="00500E72"/>
    <w:rsid w:val="00501DA9"/>
    <w:rsid w:val="0050200B"/>
    <w:rsid w:val="00502135"/>
    <w:rsid w:val="00502AFB"/>
    <w:rsid w:val="00502F97"/>
    <w:rsid w:val="005035E9"/>
    <w:rsid w:val="00503D43"/>
    <w:rsid w:val="005040BA"/>
    <w:rsid w:val="005045B0"/>
    <w:rsid w:val="00504CD8"/>
    <w:rsid w:val="00504F9C"/>
    <w:rsid w:val="00505213"/>
    <w:rsid w:val="005059EB"/>
    <w:rsid w:val="0050633B"/>
    <w:rsid w:val="0050646E"/>
    <w:rsid w:val="005076EC"/>
    <w:rsid w:val="00507D6E"/>
    <w:rsid w:val="0051084B"/>
    <w:rsid w:val="005110E3"/>
    <w:rsid w:val="00511742"/>
    <w:rsid w:val="00511885"/>
    <w:rsid w:val="005118DC"/>
    <w:rsid w:val="00511C36"/>
    <w:rsid w:val="00511CEC"/>
    <w:rsid w:val="00511F15"/>
    <w:rsid w:val="0051209F"/>
    <w:rsid w:val="005128DA"/>
    <w:rsid w:val="00512B54"/>
    <w:rsid w:val="005134F9"/>
    <w:rsid w:val="00513824"/>
    <w:rsid w:val="00513DA9"/>
    <w:rsid w:val="00513F5E"/>
    <w:rsid w:val="0051440F"/>
    <w:rsid w:val="00514527"/>
    <w:rsid w:val="0051480D"/>
    <w:rsid w:val="00514AEE"/>
    <w:rsid w:val="00514CCC"/>
    <w:rsid w:val="00514FAF"/>
    <w:rsid w:val="00515E05"/>
    <w:rsid w:val="00515EA5"/>
    <w:rsid w:val="0051603F"/>
    <w:rsid w:val="00516498"/>
    <w:rsid w:val="0051692D"/>
    <w:rsid w:val="00516B31"/>
    <w:rsid w:val="00517366"/>
    <w:rsid w:val="005176CA"/>
    <w:rsid w:val="00517DE3"/>
    <w:rsid w:val="00520015"/>
    <w:rsid w:val="00520539"/>
    <w:rsid w:val="00520555"/>
    <w:rsid w:val="00520B48"/>
    <w:rsid w:val="00520B91"/>
    <w:rsid w:val="00520F1D"/>
    <w:rsid w:val="0052162D"/>
    <w:rsid w:val="00521671"/>
    <w:rsid w:val="0052187C"/>
    <w:rsid w:val="00521B08"/>
    <w:rsid w:val="00521F18"/>
    <w:rsid w:val="00522571"/>
    <w:rsid w:val="00522F03"/>
    <w:rsid w:val="00522F2C"/>
    <w:rsid w:val="00523095"/>
    <w:rsid w:val="005232F1"/>
    <w:rsid w:val="00523560"/>
    <w:rsid w:val="00523561"/>
    <w:rsid w:val="0052370C"/>
    <w:rsid w:val="00523837"/>
    <w:rsid w:val="0052396A"/>
    <w:rsid w:val="0052486D"/>
    <w:rsid w:val="00525F06"/>
    <w:rsid w:val="005261D4"/>
    <w:rsid w:val="005263C0"/>
    <w:rsid w:val="00526A7F"/>
    <w:rsid w:val="005274D4"/>
    <w:rsid w:val="00527A77"/>
    <w:rsid w:val="00527D6D"/>
    <w:rsid w:val="00530516"/>
    <w:rsid w:val="005306CB"/>
    <w:rsid w:val="005307FC"/>
    <w:rsid w:val="00530824"/>
    <w:rsid w:val="00530C58"/>
    <w:rsid w:val="00530FF8"/>
    <w:rsid w:val="00531B19"/>
    <w:rsid w:val="00531C6A"/>
    <w:rsid w:val="00532454"/>
    <w:rsid w:val="0053286C"/>
    <w:rsid w:val="005329AB"/>
    <w:rsid w:val="00532AFB"/>
    <w:rsid w:val="00532B6A"/>
    <w:rsid w:val="00532F67"/>
    <w:rsid w:val="00533D6D"/>
    <w:rsid w:val="005342D3"/>
    <w:rsid w:val="00534F41"/>
    <w:rsid w:val="0053510D"/>
    <w:rsid w:val="00535258"/>
    <w:rsid w:val="0053588F"/>
    <w:rsid w:val="00535CA6"/>
    <w:rsid w:val="00535E4E"/>
    <w:rsid w:val="0053627B"/>
    <w:rsid w:val="00536632"/>
    <w:rsid w:val="00536670"/>
    <w:rsid w:val="005369CB"/>
    <w:rsid w:val="005369CF"/>
    <w:rsid w:val="00536B07"/>
    <w:rsid w:val="00536EB0"/>
    <w:rsid w:val="00537C47"/>
    <w:rsid w:val="00537D20"/>
    <w:rsid w:val="00537F8A"/>
    <w:rsid w:val="005402C7"/>
    <w:rsid w:val="0054034D"/>
    <w:rsid w:val="00540513"/>
    <w:rsid w:val="005409AB"/>
    <w:rsid w:val="00540A94"/>
    <w:rsid w:val="00541115"/>
    <w:rsid w:val="00541222"/>
    <w:rsid w:val="005414D2"/>
    <w:rsid w:val="00541690"/>
    <w:rsid w:val="00542A42"/>
    <w:rsid w:val="00542D69"/>
    <w:rsid w:val="005432D0"/>
    <w:rsid w:val="005435F2"/>
    <w:rsid w:val="00544259"/>
    <w:rsid w:val="005443DE"/>
    <w:rsid w:val="00544A00"/>
    <w:rsid w:val="00544CE6"/>
    <w:rsid w:val="00544FA5"/>
    <w:rsid w:val="0054577F"/>
    <w:rsid w:val="00546441"/>
    <w:rsid w:val="00546626"/>
    <w:rsid w:val="0054681D"/>
    <w:rsid w:val="00546B02"/>
    <w:rsid w:val="005476A4"/>
    <w:rsid w:val="005479AB"/>
    <w:rsid w:val="00547C8F"/>
    <w:rsid w:val="00547D84"/>
    <w:rsid w:val="005503D4"/>
    <w:rsid w:val="00550580"/>
    <w:rsid w:val="00550BCB"/>
    <w:rsid w:val="0055102C"/>
    <w:rsid w:val="005513CB"/>
    <w:rsid w:val="00551C72"/>
    <w:rsid w:val="005521AF"/>
    <w:rsid w:val="005523EB"/>
    <w:rsid w:val="005523F6"/>
    <w:rsid w:val="00552737"/>
    <w:rsid w:val="005529CB"/>
    <w:rsid w:val="00552E0C"/>
    <w:rsid w:val="0055377F"/>
    <w:rsid w:val="00553C61"/>
    <w:rsid w:val="00553D22"/>
    <w:rsid w:val="00553EED"/>
    <w:rsid w:val="00553F23"/>
    <w:rsid w:val="005541D7"/>
    <w:rsid w:val="005542B2"/>
    <w:rsid w:val="005546F1"/>
    <w:rsid w:val="005550C7"/>
    <w:rsid w:val="00555C88"/>
    <w:rsid w:val="00555D95"/>
    <w:rsid w:val="00555DD1"/>
    <w:rsid w:val="00557112"/>
    <w:rsid w:val="0055715B"/>
    <w:rsid w:val="00557777"/>
    <w:rsid w:val="00557C87"/>
    <w:rsid w:val="00560836"/>
    <w:rsid w:val="00560CB0"/>
    <w:rsid w:val="00560FDC"/>
    <w:rsid w:val="00561C3B"/>
    <w:rsid w:val="00561EA4"/>
    <w:rsid w:val="005627EF"/>
    <w:rsid w:val="0056286C"/>
    <w:rsid w:val="00564065"/>
    <w:rsid w:val="00564199"/>
    <w:rsid w:val="005646CB"/>
    <w:rsid w:val="00564968"/>
    <w:rsid w:val="00564B35"/>
    <w:rsid w:val="0056501A"/>
    <w:rsid w:val="005650C0"/>
    <w:rsid w:val="00565426"/>
    <w:rsid w:val="0056607C"/>
    <w:rsid w:val="00566108"/>
    <w:rsid w:val="00566434"/>
    <w:rsid w:val="00566A0F"/>
    <w:rsid w:val="00566FFC"/>
    <w:rsid w:val="0056786F"/>
    <w:rsid w:val="005705D8"/>
    <w:rsid w:val="00570A22"/>
    <w:rsid w:val="00570BD8"/>
    <w:rsid w:val="00570D05"/>
    <w:rsid w:val="005711A7"/>
    <w:rsid w:val="0057195A"/>
    <w:rsid w:val="00572226"/>
    <w:rsid w:val="005724E7"/>
    <w:rsid w:val="00573691"/>
    <w:rsid w:val="00573A41"/>
    <w:rsid w:val="00573D38"/>
    <w:rsid w:val="00574164"/>
    <w:rsid w:val="0057431D"/>
    <w:rsid w:val="00574351"/>
    <w:rsid w:val="00574615"/>
    <w:rsid w:val="005749D5"/>
    <w:rsid w:val="00574E50"/>
    <w:rsid w:val="00574EB3"/>
    <w:rsid w:val="00575237"/>
    <w:rsid w:val="00576233"/>
    <w:rsid w:val="0057692F"/>
    <w:rsid w:val="00576F6F"/>
    <w:rsid w:val="005773A3"/>
    <w:rsid w:val="00577B40"/>
    <w:rsid w:val="00580240"/>
    <w:rsid w:val="00580346"/>
    <w:rsid w:val="005804CE"/>
    <w:rsid w:val="00580B55"/>
    <w:rsid w:val="00580E00"/>
    <w:rsid w:val="00580E1B"/>
    <w:rsid w:val="00580E95"/>
    <w:rsid w:val="00581C51"/>
    <w:rsid w:val="00581ECA"/>
    <w:rsid w:val="005820FE"/>
    <w:rsid w:val="00582CB0"/>
    <w:rsid w:val="00582E1A"/>
    <w:rsid w:val="00582F4A"/>
    <w:rsid w:val="0058308A"/>
    <w:rsid w:val="00583415"/>
    <w:rsid w:val="00584600"/>
    <w:rsid w:val="00584B93"/>
    <w:rsid w:val="005851DF"/>
    <w:rsid w:val="00585778"/>
    <w:rsid w:val="00585794"/>
    <w:rsid w:val="00586478"/>
    <w:rsid w:val="005869BC"/>
    <w:rsid w:val="00586BC0"/>
    <w:rsid w:val="0058715D"/>
    <w:rsid w:val="00590352"/>
    <w:rsid w:val="0059066F"/>
    <w:rsid w:val="005906DD"/>
    <w:rsid w:val="0059099B"/>
    <w:rsid w:val="00590EBC"/>
    <w:rsid w:val="0059141C"/>
    <w:rsid w:val="00591868"/>
    <w:rsid w:val="00591FBE"/>
    <w:rsid w:val="005924A8"/>
    <w:rsid w:val="00592537"/>
    <w:rsid w:val="00592667"/>
    <w:rsid w:val="005926DB"/>
    <w:rsid w:val="00592D7B"/>
    <w:rsid w:val="005935AB"/>
    <w:rsid w:val="00593C71"/>
    <w:rsid w:val="00593D16"/>
    <w:rsid w:val="00593FCF"/>
    <w:rsid w:val="0059438D"/>
    <w:rsid w:val="00594491"/>
    <w:rsid w:val="00594DDA"/>
    <w:rsid w:val="00594EF1"/>
    <w:rsid w:val="00594F30"/>
    <w:rsid w:val="00595C2F"/>
    <w:rsid w:val="00595FD2"/>
    <w:rsid w:val="00596586"/>
    <w:rsid w:val="005966E8"/>
    <w:rsid w:val="00596CD2"/>
    <w:rsid w:val="00596FA6"/>
    <w:rsid w:val="0059716C"/>
    <w:rsid w:val="005971C0"/>
    <w:rsid w:val="00597500"/>
    <w:rsid w:val="005979FF"/>
    <w:rsid w:val="00597E19"/>
    <w:rsid w:val="005A0039"/>
    <w:rsid w:val="005A0041"/>
    <w:rsid w:val="005A01BE"/>
    <w:rsid w:val="005A048F"/>
    <w:rsid w:val="005A0757"/>
    <w:rsid w:val="005A0DA3"/>
    <w:rsid w:val="005A10F5"/>
    <w:rsid w:val="005A1FB2"/>
    <w:rsid w:val="005A245E"/>
    <w:rsid w:val="005A2AB2"/>
    <w:rsid w:val="005A2ADF"/>
    <w:rsid w:val="005A333D"/>
    <w:rsid w:val="005A3341"/>
    <w:rsid w:val="005A34C7"/>
    <w:rsid w:val="005A34FE"/>
    <w:rsid w:val="005A3AB6"/>
    <w:rsid w:val="005A3EE9"/>
    <w:rsid w:val="005A4208"/>
    <w:rsid w:val="005A490A"/>
    <w:rsid w:val="005A4BBF"/>
    <w:rsid w:val="005A4EE2"/>
    <w:rsid w:val="005A4FBE"/>
    <w:rsid w:val="005A531B"/>
    <w:rsid w:val="005A557D"/>
    <w:rsid w:val="005A5DF6"/>
    <w:rsid w:val="005A60EB"/>
    <w:rsid w:val="005A67D4"/>
    <w:rsid w:val="005A6901"/>
    <w:rsid w:val="005A698C"/>
    <w:rsid w:val="005A7150"/>
    <w:rsid w:val="005A77C9"/>
    <w:rsid w:val="005A7A6E"/>
    <w:rsid w:val="005A7A91"/>
    <w:rsid w:val="005B1905"/>
    <w:rsid w:val="005B1961"/>
    <w:rsid w:val="005B1D37"/>
    <w:rsid w:val="005B25B4"/>
    <w:rsid w:val="005B2C11"/>
    <w:rsid w:val="005B2F59"/>
    <w:rsid w:val="005B31FE"/>
    <w:rsid w:val="005B3403"/>
    <w:rsid w:val="005B3801"/>
    <w:rsid w:val="005B3CCA"/>
    <w:rsid w:val="005B3DF8"/>
    <w:rsid w:val="005B42AE"/>
    <w:rsid w:val="005B42CA"/>
    <w:rsid w:val="005B439E"/>
    <w:rsid w:val="005B53C3"/>
    <w:rsid w:val="005B57C8"/>
    <w:rsid w:val="005B5E17"/>
    <w:rsid w:val="005B5E46"/>
    <w:rsid w:val="005B5FE8"/>
    <w:rsid w:val="005B68F1"/>
    <w:rsid w:val="005B7A60"/>
    <w:rsid w:val="005B7BB8"/>
    <w:rsid w:val="005C03F1"/>
    <w:rsid w:val="005C083E"/>
    <w:rsid w:val="005C0BD5"/>
    <w:rsid w:val="005C1CF6"/>
    <w:rsid w:val="005C1D19"/>
    <w:rsid w:val="005C1D2B"/>
    <w:rsid w:val="005C2181"/>
    <w:rsid w:val="005C28BA"/>
    <w:rsid w:val="005C2A6E"/>
    <w:rsid w:val="005C2B4A"/>
    <w:rsid w:val="005C3E52"/>
    <w:rsid w:val="005C4153"/>
    <w:rsid w:val="005C4837"/>
    <w:rsid w:val="005C4D2B"/>
    <w:rsid w:val="005C50D3"/>
    <w:rsid w:val="005C5895"/>
    <w:rsid w:val="005C60F5"/>
    <w:rsid w:val="005C61DC"/>
    <w:rsid w:val="005C661B"/>
    <w:rsid w:val="005C6758"/>
    <w:rsid w:val="005C67B5"/>
    <w:rsid w:val="005C681F"/>
    <w:rsid w:val="005C7661"/>
    <w:rsid w:val="005C79B4"/>
    <w:rsid w:val="005C7F51"/>
    <w:rsid w:val="005D0166"/>
    <w:rsid w:val="005D0514"/>
    <w:rsid w:val="005D074E"/>
    <w:rsid w:val="005D08D7"/>
    <w:rsid w:val="005D0D42"/>
    <w:rsid w:val="005D1240"/>
    <w:rsid w:val="005D18E5"/>
    <w:rsid w:val="005D277F"/>
    <w:rsid w:val="005D3018"/>
    <w:rsid w:val="005D3865"/>
    <w:rsid w:val="005D3B2D"/>
    <w:rsid w:val="005D3C34"/>
    <w:rsid w:val="005D3E45"/>
    <w:rsid w:val="005D3ECD"/>
    <w:rsid w:val="005D4336"/>
    <w:rsid w:val="005D4B6B"/>
    <w:rsid w:val="005D4B71"/>
    <w:rsid w:val="005D4EF4"/>
    <w:rsid w:val="005D51A7"/>
    <w:rsid w:val="005D55E0"/>
    <w:rsid w:val="005D6AFB"/>
    <w:rsid w:val="005D6F22"/>
    <w:rsid w:val="005D76A6"/>
    <w:rsid w:val="005D7C64"/>
    <w:rsid w:val="005E05E1"/>
    <w:rsid w:val="005E0953"/>
    <w:rsid w:val="005E09E7"/>
    <w:rsid w:val="005E0B72"/>
    <w:rsid w:val="005E1B64"/>
    <w:rsid w:val="005E1D4C"/>
    <w:rsid w:val="005E230A"/>
    <w:rsid w:val="005E32A2"/>
    <w:rsid w:val="005E33DB"/>
    <w:rsid w:val="005E3C41"/>
    <w:rsid w:val="005E4DF0"/>
    <w:rsid w:val="005E4EEF"/>
    <w:rsid w:val="005E5432"/>
    <w:rsid w:val="005E5D80"/>
    <w:rsid w:val="005E66E7"/>
    <w:rsid w:val="005E6AFB"/>
    <w:rsid w:val="005E6B0C"/>
    <w:rsid w:val="005E6C94"/>
    <w:rsid w:val="005E6D26"/>
    <w:rsid w:val="005E6E01"/>
    <w:rsid w:val="005E709B"/>
    <w:rsid w:val="005F00E8"/>
    <w:rsid w:val="005F044C"/>
    <w:rsid w:val="005F0B4A"/>
    <w:rsid w:val="005F0E7C"/>
    <w:rsid w:val="005F1A6F"/>
    <w:rsid w:val="005F1FA5"/>
    <w:rsid w:val="005F247C"/>
    <w:rsid w:val="005F2677"/>
    <w:rsid w:val="005F28CB"/>
    <w:rsid w:val="005F2C31"/>
    <w:rsid w:val="005F2EA7"/>
    <w:rsid w:val="005F3101"/>
    <w:rsid w:val="005F386B"/>
    <w:rsid w:val="005F3C9E"/>
    <w:rsid w:val="005F4B8F"/>
    <w:rsid w:val="005F4D75"/>
    <w:rsid w:val="005F5AE5"/>
    <w:rsid w:val="005F70C1"/>
    <w:rsid w:val="005F71FF"/>
    <w:rsid w:val="005F73D5"/>
    <w:rsid w:val="005F7B18"/>
    <w:rsid w:val="00600075"/>
    <w:rsid w:val="006003DC"/>
    <w:rsid w:val="006005B8"/>
    <w:rsid w:val="00600910"/>
    <w:rsid w:val="00600D53"/>
    <w:rsid w:val="00601160"/>
    <w:rsid w:val="006013FB"/>
    <w:rsid w:val="00601C4C"/>
    <w:rsid w:val="006021D4"/>
    <w:rsid w:val="00602795"/>
    <w:rsid w:val="00602D23"/>
    <w:rsid w:val="00603BD6"/>
    <w:rsid w:val="00604194"/>
    <w:rsid w:val="006041A1"/>
    <w:rsid w:val="00604529"/>
    <w:rsid w:val="0060468D"/>
    <w:rsid w:val="00604CD2"/>
    <w:rsid w:val="006053EA"/>
    <w:rsid w:val="00605578"/>
    <w:rsid w:val="00605C64"/>
    <w:rsid w:val="00605EC6"/>
    <w:rsid w:val="00606673"/>
    <w:rsid w:val="00607506"/>
    <w:rsid w:val="006075CE"/>
    <w:rsid w:val="006076ED"/>
    <w:rsid w:val="00607938"/>
    <w:rsid w:val="00607F08"/>
    <w:rsid w:val="006104E7"/>
    <w:rsid w:val="0061060D"/>
    <w:rsid w:val="00610BEB"/>
    <w:rsid w:val="00610E5A"/>
    <w:rsid w:val="00612305"/>
    <w:rsid w:val="00612645"/>
    <w:rsid w:val="0061272F"/>
    <w:rsid w:val="00612A36"/>
    <w:rsid w:val="00612E2D"/>
    <w:rsid w:val="00613037"/>
    <w:rsid w:val="00613045"/>
    <w:rsid w:val="00613229"/>
    <w:rsid w:val="006132A7"/>
    <w:rsid w:val="006138BF"/>
    <w:rsid w:val="00613B8F"/>
    <w:rsid w:val="00614452"/>
    <w:rsid w:val="006145EA"/>
    <w:rsid w:val="00614670"/>
    <w:rsid w:val="00614695"/>
    <w:rsid w:val="006151C0"/>
    <w:rsid w:val="0061589D"/>
    <w:rsid w:val="00615B13"/>
    <w:rsid w:val="00615CDA"/>
    <w:rsid w:val="006162C3"/>
    <w:rsid w:val="0061683C"/>
    <w:rsid w:val="006168F4"/>
    <w:rsid w:val="006169C3"/>
    <w:rsid w:val="00616B86"/>
    <w:rsid w:val="00616E1F"/>
    <w:rsid w:val="00617C89"/>
    <w:rsid w:val="00617CDB"/>
    <w:rsid w:val="006209D6"/>
    <w:rsid w:val="00620BD4"/>
    <w:rsid w:val="00620D61"/>
    <w:rsid w:val="00620D9F"/>
    <w:rsid w:val="00620F36"/>
    <w:rsid w:val="00620F87"/>
    <w:rsid w:val="00621801"/>
    <w:rsid w:val="006225C6"/>
    <w:rsid w:val="006233E8"/>
    <w:rsid w:val="00623673"/>
    <w:rsid w:val="00623C8B"/>
    <w:rsid w:val="006246A0"/>
    <w:rsid w:val="006247BE"/>
    <w:rsid w:val="00624EEF"/>
    <w:rsid w:val="00625379"/>
    <w:rsid w:val="00625491"/>
    <w:rsid w:val="0062554A"/>
    <w:rsid w:val="00625653"/>
    <w:rsid w:val="00625991"/>
    <w:rsid w:val="00625B6D"/>
    <w:rsid w:val="00625DC8"/>
    <w:rsid w:val="00625E67"/>
    <w:rsid w:val="00626038"/>
    <w:rsid w:val="006261EB"/>
    <w:rsid w:val="0062632C"/>
    <w:rsid w:val="006269AE"/>
    <w:rsid w:val="00626FF8"/>
    <w:rsid w:val="0062738E"/>
    <w:rsid w:val="006275CB"/>
    <w:rsid w:val="0063008E"/>
    <w:rsid w:val="006304B1"/>
    <w:rsid w:val="00630577"/>
    <w:rsid w:val="00630C2F"/>
    <w:rsid w:val="00630DC4"/>
    <w:rsid w:val="006310B5"/>
    <w:rsid w:val="00631511"/>
    <w:rsid w:val="006324DD"/>
    <w:rsid w:val="00632709"/>
    <w:rsid w:val="00632FA1"/>
    <w:rsid w:val="00633295"/>
    <w:rsid w:val="006333B3"/>
    <w:rsid w:val="00633412"/>
    <w:rsid w:val="00633795"/>
    <w:rsid w:val="00633881"/>
    <w:rsid w:val="00633983"/>
    <w:rsid w:val="00633CA5"/>
    <w:rsid w:val="00633EC8"/>
    <w:rsid w:val="006342F2"/>
    <w:rsid w:val="00634B59"/>
    <w:rsid w:val="00634BFF"/>
    <w:rsid w:val="00634D38"/>
    <w:rsid w:val="00634DAD"/>
    <w:rsid w:val="00634E2B"/>
    <w:rsid w:val="00634E3F"/>
    <w:rsid w:val="00636076"/>
    <w:rsid w:val="006360F1"/>
    <w:rsid w:val="006363CA"/>
    <w:rsid w:val="00636ABC"/>
    <w:rsid w:val="00636E14"/>
    <w:rsid w:val="00637265"/>
    <w:rsid w:val="00637705"/>
    <w:rsid w:val="00637A8F"/>
    <w:rsid w:val="00637B41"/>
    <w:rsid w:val="00637C18"/>
    <w:rsid w:val="006400C6"/>
    <w:rsid w:val="006400E6"/>
    <w:rsid w:val="00640624"/>
    <w:rsid w:val="00640E39"/>
    <w:rsid w:val="00640E8C"/>
    <w:rsid w:val="0064101E"/>
    <w:rsid w:val="0064112B"/>
    <w:rsid w:val="00641BD2"/>
    <w:rsid w:val="0064220D"/>
    <w:rsid w:val="00642F1F"/>
    <w:rsid w:val="00642F4E"/>
    <w:rsid w:val="00642FE4"/>
    <w:rsid w:val="00643155"/>
    <w:rsid w:val="006432F6"/>
    <w:rsid w:val="00643F92"/>
    <w:rsid w:val="006440EF"/>
    <w:rsid w:val="00644498"/>
    <w:rsid w:val="0064469F"/>
    <w:rsid w:val="006448A1"/>
    <w:rsid w:val="00644B0F"/>
    <w:rsid w:val="00644D89"/>
    <w:rsid w:val="006450B6"/>
    <w:rsid w:val="0064514B"/>
    <w:rsid w:val="0064562D"/>
    <w:rsid w:val="00645719"/>
    <w:rsid w:val="0064581B"/>
    <w:rsid w:val="00646AAF"/>
    <w:rsid w:val="00646BD8"/>
    <w:rsid w:val="006470A3"/>
    <w:rsid w:val="00647687"/>
    <w:rsid w:val="006478EA"/>
    <w:rsid w:val="0065074E"/>
    <w:rsid w:val="00650768"/>
    <w:rsid w:val="0065091C"/>
    <w:rsid w:val="00650EB2"/>
    <w:rsid w:val="006511DE"/>
    <w:rsid w:val="00651BB0"/>
    <w:rsid w:val="006521E2"/>
    <w:rsid w:val="00652B53"/>
    <w:rsid w:val="00652EF2"/>
    <w:rsid w:val="00653D17"/>
    <w:rsid w:val="0065426A"/>
    <w:rsid w:val="006545D2"/>
    <w:rsid w:val="00654E44"/>
    <w:rsid w:val="00655A78"/>
    <w:rsid w:val="00655C75"/>
    <w:rsid w:val="006561D8"/>
    <w:rsid w:val="006565D5"/>
    <w:rsid w:val="0065718F"/>
    <w:rsid w:val="006572BD"/>
    <w:rsid w:val="00657533"/>
    <w:rsid w:val="006576AF"/>
    <w:rsid w:val="00657C77"/>
    <w:rsid w:val="00660023"/>
    <w:rsid w:val="00660575"/>
    <w:rsid w:val="006605D3"/>
    <w:rsid w:val="006607A4"/>
    <w:rsid w:val="00660813"/>
    <w:rsid w:val="00660E24"/>
    <w:rsid w:val="00660FF3"/>
    <w:rsid w:val="00661BC5"/>
    <w:rsid w:val="00662019"/>
    <w:rsid w:val="006620B3"/>
    <w:rsid w:val="0066279F"/>
    <w:rsid w:val="00662C4F"/>
    <w:rsid w:val="00663125"/>
    <w:rsid w:val="0066418E"/>
    <w:rsid w:val="006643EE"/>
    <w:rsid w:val="00665701"/>
    <w:rsid w:val="00665706"/>
    <w:rsid w:val="00665A85"/>
    <w:rsid w:val="00665A96"/>
    <w:rsid w:val="00665AC3"/>
    <w:rsid w:val="00665BF5"/>
    <w:rsid w:val="00666220"/>
    <w:rsid w:val="006662E4"/>
    <w:rsid w:val="0066647E"/>
    <w:rsid w:val="00670160"/>
    <w:rsid w:val="0067034A"/>
    <w:rsid w:val="006705D2"/>
    <w:rsid w:val="00670A85"/>
    <w:rsid w:val="00670F0A"/>
    <w:rsid w:val="00671B11"/>
    <w:rsid w:val="00671F51"/>
    <w:rsid w:val="00672949"/>
    <w:rsid w:val="00672A56"/>
    <w:rsid w:val="0067367E"/>
    <w:rsid w:val="00673857"/>
    <w:rsid w:val="006738D1"/>
    <w:rsid w:val="00673CC2"/>
    <w:rsid w:val="00673E8D"/>
    <w:rsid w:val="00674229"/>
    <w:rsid w:val="0067438E"/>
    <w:rsid w:val="00674FE5"/>
    <w:rsid w:val="00675356"/>
    <w:rsid w:val="00675554"/>
    <w:rsid w:val="00675830"/>
    <w:rsid w:val="00675AF6"/>
    <w:rsid w:val="006761D9"/>
    <w:rsid w:val="00676228"/>
    <w:rsid w:val="00676A27"/>
    <w:rsid w:val="00676BCC"/>
    <w:rsid w:val="00676D38"/>
    <w:rsid w:val="00677049"/>
    <w:rsid w:val="0068095B"/>
    <w:rsid w:val="00680C5C"/>
    <w:rsid w:val="00681318"/>
    <w:rsid w:val="0068179F"/>
    <w:rsid w:val="00681910"/>
    <w:rsid w:val="00681AC4"/>
    <w:rsid w:val="00681E86"/>
    <w:rsid w:val="006822DA"/>
    <w:rsid w:val="00682DB3"/>
    <w:rsid w:val="006838E9"/>
    <w:rsid w:val="00683A4A"/>
    <w:rsid w:val="00683B7D"/>
    <w:rsid w:val="00683D13"/>
    <w:rsid w:val="00683D69"/>
    <w:rsid w:val="006844A1"/>
    <w:rsid w:val="006848C0"/>
    <w:rsid w:val="00684F0E"/>
    <w:rsid w:val="0068526B"/>
    <w:rsid w:val="00685657"/>
    <w:rsid w:val="0068593E"/>
    <w:rsid w:val="006869D9"/>
    <w:rsid w:val="00687315"/>
    <w:rsid w:val="006874EF"/>
    <w:rsid w:val="00687DC5"/>
    <w:rsid w:val="00690154"/>
    <w:rsid w:val="00690998"/>
    <w:rsid w:val="00690A4F"/>
    <w:rsid w:val="00690F5A"/>
    <w:rsid w:val="00690F5C"/>
    <w:rsid w:val="00691101"/>
    <w:rsid w:val="006919B1"/>
    <w:rsid w:val="00691DB6"/>
    <w:rsid w:val="0069245A"/>
    <w:rsid w:val="00692A27"/>
    <w:rsid w:val="006935BE"/>
    <w:rsid w:val="006936B9"/>
    <w:rsid w:val="00693886"/>
    <w:rsid w:val="00694100"/>
    <w:rsid w:val="0069421F"/>
    <w:rsid w:val="006945C7"/>
    <w:rsid w:val="00694619"/>
    <w:rsid w:val="006949BD"/>
    <w:rsid w:val="00694E99"/>
    <w:rsid w:val="006957C0"/>
    <w:rsid w:val="00695B39"/>
    <w:rsid w:val="00696E08"/>
    <w:rsid w:val="0069742C"/>
    <w:rsid w:val="006976A2"/>
    <w:rsid w:val="006979C4"/>
    <w:rsid w:val="00697DD3"/>
    <w:rsid w:val="00697FA0"/>
    <w:rsid w:val="006A09B5"/>
    <w:rsid w:val="006A0A9A"/>
    <w:rsid w:val="006A0C2E"/>
    <w:rsid w:val="006A0C8D"/>
    <w:rsid w:val="006A0D21"/>
    <w:rsid w:val="006A1373"/>
    <w:rsid w:val="006A1420"/>
    <w:rsid w:val="006A1B07"/>
    <w:rsid w:val="006A1E34"/>
    <w:rsid w:val="006A2183"/>
    <w:rsid w:val="006A2303"/>
    <w:rsid w:val="006A28C3"/>
    <w:rsid w:val="006A28E9"/>
    <w:rsid w:val="006A2A0E"/>
    <w:rsid w:val="006A309D"/>
    <w:rsid w:val="006A339F"/>
    <w:rsid w:val="006A3E9E"/>
    <w:rsid w:val="006A535C"/>
    <w:rsid w:val="006A6369"/>
    <w:rsid w:val="006A6CE8"/>
    <w:rsid w:val="006A795C"/>
    <w:rsid w:val="006A7C02"/>
    <w:rsid w:val="006A7DAE"/>
    <w:rsid w:val="006B0136"/>
    <w:rsid w:val="006B07E2"/>
    <w:rsid w:val="006B0E9A"/>
    <w:rsid w:val="006B0FFC"/>
    <w:rsid w:val="006B109F"/>
    <w:rsid w:val="006B1316"/>
    <w:rsid w:val="006B1690"/>
    <w:rsid w:val="006B1798"/>
    <w:rsid w:val="006B19B2"/>
    <w:rsid w:val="006B1BF6"/>
    <w:rsid w:val="006B2000"/>
    <w:rsid w:val="006B2257"/>
    <w:rsid w:val="006B2494"/>
    <w:rsid w:val="006B3461"/>
    <w:rsid w:val="006B3626"/>
    <w:rsid w:val="006B43F3"/>
    <w:rsid w:val="006B445C"/>
    <w:rsid w:val="006B5192"/>
    <w:rsid w:val="006B5607"/>
    <w:rsid w:val="006B5A23"/>
    <w:rsid w:val="006B635B"/>
    <w:rsid w:val="006B6AF6"/>
    <w:rsid w:val="006B6AFE"/>
    <w:rsid w:val="006B7223"/>
    <w:rsid w:val="006B75EE"/>
    <w:rsid w:val="006B76C8"/>
    <w:rsid w:val="006B7FD3"/>
    <w:rsid w:val="006C0429"/>
    <w:rsid w:val="006C1243"/>
    <w:rsid w:val="006C18B7"/>
    <w:rsid w:val="006C1C46"/>
    <w:rsid w:val="006C2CE4"/>
    <w:rsid w:val="006C31D8"/>
    <w:rsid w:val="006C35FC"/>
    <w:rsid w:val="006C384B"/>
    <w:rsid w:val="006C3D9E"/>
    <w:rsid w:val="006C40E3"/>
    <w:rsid w:val="006C518C"/>
    <w:rsid w:val="006C53AE"/>
    <w:rsid w:val="006C5403"/>
    <w:rsid w:val="006C5B72"/>
    <w:rsid w:val="006C6242"/>
    <w:rsid w:val="006C62A5"/>
    <w:rsid w:val="006C6E11"/>
    <w:rsid w:val="006C72F5"/>
    <w:rsid w:val="006C7603"/>
    <w:rsid w:val="006C7E69"/>
    <w:rsid w:val="006D0408"/>
    <w:rsid w:val="006D07A6"/>
    <w:rsid w:val="006D092B"/>
    <w:rsid w:val="006D13D1"/>
    <w:rsid w:val="006D1658"/>
    <w:rsid w:val="006D1A84"/>
    <w:rsid w:val="006D1EEB"/>
    <w:rsid w:val="006D298A"/>
    <w:rsid w:val="006D2A97"/>
    <w:rsid w:val="006D2E5A"/>
    <w:rsid w:val="006D3198"/>
    <w:rsid w:val="006D3316"/>
    <w:rsid w:val="006D33BF"/>
    <w:rsid w:val="006D3653"/>
    <w:rsid w:val="006D3C6E"/>
    <w:rsid w:val="006D4082"/>
    <w:rsid w:val="006D40C7"/>
    <w:rsid w:val="006D47DA"/>
    <w:rsid w:val="006D54E1"/>
    <w:rsid w:val="006D5549"/>
    <w:rsid w:val="006D5668"/>
    <w:rsid w:val="006D5ED3"/>
    <w:rsid w:val="006D5F02"/>
    <w:rsid w:val="006D6339"/>
    <w:rsid w:val="006D6D3A"/>
    <w:rsid w:val="006D6FED"/>
    <w:rsid w:val="006D7654"/>
    <w:rsid w:val="006D78B5"/>
    <w:rsid w:val="006D7AE0"/>
    <w:rsid w:val="006D7C9C"/>
    <w:rsid w:val="006E02B0"/>
    <w:rsid w:val="006E057B"/>
    <w:rsid w:val="006E0E15"/>
    <w:rsid w:val="006E10FE"/>
    <w:rsid w:val="006E1252"/>
    <w:rsid w:val="006E12AE"/>
    <w:rsid w:val="006E13F4"/>
    <w:rsid w:val="006E1637"/>
    <w:rsid w:val="006E17F0"/>
    <w:rsid w:val="006E1850"/>
    <w:rsid w:val="006E1BB9"/>
    <w:rsid w:val="006E2126"/>
    <w:rsid w:val="006E3540"/>
    <w:rsid w:val="006E3A6C"/>
    <w:rsid w:val="006E3EFB"/>
    <w:rsid w:val="006E4484"/>
    <w:rsid w:val="006E48C1"/>
    <w:rsid w:val="006E4928"/>
    <w:rsid w:val="006E5235"/>
    <w:rsid w:val="006E52E2"/>
    <w:rsid w:val="006E5364"/>
    <w:rsid w:val="006E553D"/>
    <w:rsid w:val="006E580B"/>
    <w:rsid w:val="006E5A10"/>
    <w:rsid w:val="006E5A7B"/>
    <w:rsid w:val="006E5C89"/>
    <w:rsid w:val="006E5EC4"/>
    <w:rsid w:val="006E719E"/>
    <w:rsid w:val="006E7495"/>
    <w:rsid w:val="006E79F3"/>
    <w:rsid w:val="006F0624"/>
    <w:rsid w:val="006F0B89"/>
    <w:rsid w:val="006F107D"/>
    <w:rsid w:val="006F193C"/>
    <w:rsid w:val="006F23AF"/>
    <w:rsid w:val="006F2936"/>
    <w:rsid w:val="006F297D"/>
    <w:rsid w:val="006F2B15"/>
    <w:rsid w:val="006F2F66"/>
    <w:rsid w:val="006F3457"/>
    <w:rsid w:val="006F37FE"/>
    <w:rsid w:val="006F3CBE"/>
    <w:rsid w:val="006F3FE7"/>
    <w:rsid w:val="006F4108"/>
    <w:rsid w:val="006F5DCA"/>
    <w:rsid w:val="006F6048"/>
    <w:rsid w:val="006F632E"/>
    <w:rsid w:val="006F65AC"/>
    <w:rsid w:val="006F7BC1"/>
    <w:rsid w:val="00700877"/>
    <w:rsid w:val="00700DB9"/>
    <w:rsid w:val="00700DD9"/>
    <w:rsid w:val="00701523"/>
    <w:rsid w:val="00701529"/>
    <w:rsid w:val="007020E5"/>
    <w:rsid w:val="0070246E"/>
    <w:rsid w:val="007026D3"/>
    <w:rsid w:val="007028FB"/>
    <w:rsid w:val="007030A8"/>
    <w:rsid w:val="00703321"/>
    <w:rsid w:val="007035B0"/>
    <w:rsid w:val="0070379F"/>
    <w:rsid w:val="00703D68"/>
    <w:rsid w:val="0070441A"/>
    <w:rsid w:val="007044ED"/>
    <w:rsid w:val="007049B5"/>
    <w:rsid w:val="00704CB0"/>
    <w:rsid w:val="0070542B"/>
    <w:rsid w:val="00705B87"/>
    <w:rsid w:val="00706DCC"/>
    <w:rsid w:val="00707834"/>
    <w:rsid w:val="00707FE9"/>
    <w:rsid w:val="007102C4"/>
    <w:rsid w:val="00710AE0"/>
    <w:rsid w:val="00711336"/>
    <w:rsid w:val="00712163"/>
    <w:rsid w:val="00712DE4"/>
    <w:rsid w:val="00713691"/>
    <w:rsid w:val="00713DF5"/>
    <w:rsid w:val="00713ECC"/>
    <w:rsid w:val="00714880"/>
    <w:rsid w:val="00714F03"/>
    <w:rsid w:val="00715098"/>
    <w:rsid w:val="007158B8"/>
    <w:rsid w:val="00715ADC"/>
    <w:rsid w:val="007160E1"/>
    <w:rsid w:val="007161B1"/>
    <w:rsid w:val="0071622E"/>
    <w:rsid w:val="007162F2"/>
    <w:rsid w:val="007168B5"/>
    <w:rsid w:val="00716FD2"/>
    <w:rsid w:val="00717127"/>
    <w:rsid w:val="0071714A"/>
    <w:rsid w:val="0071742B"/>
    <w:rsid w:val="00717465"/>
    <w:rsid w:val="007176BC"/>
    <w:rsid w:val="00720E1A"/>
    <w:rsid w:val="00721C82"/>
    <w:rsid w:val="007225A3"/>
    <w:rsid w:val="00722E63"/>
    <w:rsid w:val="007231C5"/>
    <w:rsid w:val="00723472"/>
    <w:rsid w:val="00723496"/>
    <w:rsid w:val="007235A5"/>
    <w:rsid w:val="007236F7"/>
    <w:rsid w:val="007243F5"/>
    <w:rsid w:val="00724542"/>
    <w:rsid w:val="00725967"/>
    <w:rsid w:val="007261FF"/>
    <w:rsid w:val="007264F0"/>
    <w:rsid w:val="00726BA4"/>
    <w:rsid w:val="00726CAD"/>
    <w:rsid w:val="00727826"/>
    <w:rsid w:val="00730324"/>
    <w:rsid w:val="007303F1"/>
    <w:rsid w:val="007309C7"/>
    <w:rsid w:val="00730D4F"/>
    <w:rsid w:val="00730FC2"/>
    <w:rsid w:val="00730FEF"/>
    <w:rsid w:val="007310DF"/>
    <w:rsid w:val="00731B28"/>
    <w:rsid w:val="00731C50"/>
    <w:rsid w:val="00731EC2"/>
    <w:rsid w:val="00731F2E"/>
    <w:rsid w:val="00731FD8"/>
    <w:rsid w:val="00732215"/>
    <w:rsid w:val="00732291"/>
    <w:rsid w:val="00732665"/>
    <w:rsid w:val="00732C50"/>
    <w:rsid w:val="00732FE3"/>
    <w:rsid w:val="0073318A"/>
    <w:rsid w:val="00733429"/>
    <w:rsid w:val="00734931"/>
    <w:rsid w:val="007350DA"/>
    <w:rsid w:val="0073543B"/>
    <w:rsid w:val="007359AC"/>
    <w:rsid w:val="007361AA"/>
    <w:rsid w:val="007363CF"/>
    <w:rsid w:val="007367E0"/>
    <w:rsid w:val="007369C6"/>
    <w:rsid w:val="00736EF7"/>
    <w:rsid w:val="00736F88"/>
    <w:rsid w:val="007374E3"/>
    <w:rsid w:val="007377F9"/>
    <w:rsid w:val="0073799B"/>
    <w:rsid w:val="00737CE1"/>
    <w:rsid w:val="007401A5"/>
    <w:rsid w:val="00740BBB"/>
    <w:rsid w:val="00740F34"/>
    <w:rsid w:val="0074108B"/>
    <w:rsid w:val="00741831"/>
    <w:rsid w:val="00741C12"/>
    <w:rsid w:val="00741E8B"/>
    <w:rsid w:val="0074249C"/>
    <w:rsid w:val="0074297A"/>
    <w:rsid w:val="0074340C"/>
    <w:rsid w:val="00743AD8"/>
    <w:rsid w:val="00743B14"/>
    <w:rsid w:val="00744416"/>
    <w:rsid w:val="00744689"/>
    <w:rsid w:val="00744841"/>
    <w:rsid w:val="00745204"/>
    <w:rsid w:val="0074660B"/>
    <w:rsid w:val="00746696"/>
    <w:rsid w:val="007468C0"/>
    <w:rsid w:val="0074696C"/>
    <w:rsid w:val="00746FF9"/>
    <w:rsid w:val="007476F7"/>
    <w:rsid w:val="00750C26"/>
    <w:rsid w:val="00750C41"/>
    <w:rsid w:val="007511BE"/>
    <w:rsid w:val="00751494"/>
    <w:rsid w:val="0075155F"/>
    <w:rsid w:val="007516F5"/>
    <w:rsid w:val="00751BB3"/>
    <w:rsid w:val="00751FF3"/>
    <w:rsid w:val="007524FB"/>
    <w:rsid w:val="00752C2A"/>
    <w:rsid w:val="00752E6F"/>
    <w:rsid w:val="0075328E"/>
    <w:rsid w:val="0075339A"/>
    <w:rsid w:val="0075393B"/>
    <w:rsid w:val="007539C6"/>
    <w:rsid w:val="00753BC8"/>
    <w:rsid w:val="00755080"/>
    <w:rsid w:val="007553A5"/>
    <w:rsid w:val="00755799"/>
    <w:rsid w:val="00755975"/>
    <w:rsid w:val="00755D5C"/>
    <w:rsid w:val="00755F7A"/>
    <w:rsid w:val="00756C49"/>
    <w:rsid w:val="00757132"/>
    <w:rsid w:val="007573EF"/>
    <w:rsid w:val="007574DF"/>
    <w:rsid w:val="00757770"/>
    <w:rsid w:val="00757DF5"/>
    <w:rsid w:val="00757E50"/>
    <w:rsid w:val="007600D9"/>
    <w:rsid w:val="00760441"/>
    <w:rsid w:val="00760516"/>
    <w:rsid w:val="007609F1"/>
    <w:rsid w:val="00760DE8"/>
    <w:rsid w:val="00761570"/>
    <w:rsid w:val="007615ED"/>
    <w:rsid w:val="007618CE"/>
    <w:rsid w:val="00761E34"/>
    <w:rsid w:val="00761EAD"/>
    <w:rsid w:val="00761F2F"/>
    <w:rsid w:val="00762385"/>
    <w:rsid w:val="0076280C"/>
    <w:rsid w:val="0076320B"/>
    <w:rsid w:val="007635B6"/>
    <w:rsid w:val="00763660"/>
    <w:rsid w:val="007639EE"/>
    <w:rsid w:val="007641EE"/>
    <w:rsid w:val="00764493"/>
    <w:rsid w:val="00764D5E"/>
    <w:rsid w:val="0076641D"/>
    <w:rsid w:val="00766D1A"/>
    <w:rsid w:val="00766F55"/>
    <w:rsid w:val="00766FC7"/>
    <w:rsid w:val="00767226"/>
    <w:rsid w:val="00767348"/>
    <w:rsid w:val="007676FA"/>
    <w:rsid w:val="007676FD"/>
    <w:rsid w:val="0076782B"/>
    <w:rsid w:val="00767A87"/>
    <w:rsid w:val="007702B7"/>
    <w:rsid w:val="0077063D"/>
    <w:rsid w:val="007708B9"/>
    <w:rsid w:val="00770BCD"/>
    <w:rsid w:val="00770C0C"/>
    <w:rsid w:val="00770FF3"/>
    <w:rsid w:val="00771026"/>
    <w:rsid w:val="00771506"/>
    <w:rsid w:val="0077185E"/>
    <w:rsid w:val="007723A4"/>
    <w:rsid w:val="007729EC"/>
    <w:rsid w:val="00772AE4"/>
    <w:rsid w:val="00772E35"/>
    <w:rsid w:val="00773F4D"/>
    <w:rsid w:val="00773FFF"/>
    <w:rsid w:val="00774024"/>
    <w:rsid w:val="00774611"/>
    <w:rsid w:val="00774B3E"/>
    <w:rsid w:val="00774E6D"/>
    <w:rsid w:val="007757D5"/>
    <w:rsid w:val="00775A5C"/>
    <w:rsid w:val="00775E6F"/>
    <w:rsid w:val="00775FFC"/>
    <w:rsid w:val="00776460"/>
    <w:rsid w:val="00777109"/>
    <w:rsid w:val="007774B1"/>
    <w:rsid w:val="00777EA6"/>
    <w:rsid w:val="00777F35"/>
    <w:rsid w:val="0078088E"/>
    <w:rsid w:val="00780EC0"/>
    <w:rsid w:val="00780FCE"/>
    <w:rsid w:val="007810E5"/>
    <w:rsid w:val="00781101"/>
    <w:rsid w:val="00781142"/>
    <w:rsid w:val="007816BB"/>
    <w:rsid w:val="00781BA3"/>
    <w:rsid w:val="00782160"/>
    <w:rsid w:val="00782782"/>
    <w:rsid w:val="00782C9E"/>
    <w:rsid w:val="007837E3"/>
    <w:rsid w:val="0078432A"/>
    <w:rsid w:val="00784893"/>
    <w:rsid w:val="007849C7"/>
    <w:rsid w:val="00784B69"/>
    <w:rsid w:val="00785687"/>
    <w:rsid w:val="00785E33"/>
    <w:rsid w:val="00786012"/>
    <w:rsid w:val="00786351"/>
    <w:rsid w:val="00786844"/>
    <w:rsid w:val="007870AD"/>
    <w:rsid w:val="007878C9"/>
    <w:rsid w:val="007879F1"/>
    <w:rsid w:val="00787B4D"/>
    <w:rsid w:val="00790299"/>
    <w:rsid w:val="0079063F"/>
    <w:rsid w:val="007906AE"/>
    <w:rsid w:val="00790A2E"/>
    <w:rsid w:val="00790AE6"/>
    <w:rsid w:val="00790B6D"/>
    <w:rsid w:val="00790F4E"/>
    <w:rsid w:val="00791307"/>
    <w:rsid w:val="00791646"/>
    <w:rsid w:val="007919AD"/>
    <w:rsid w:val="00792466"/>
    <w:rsid w:val="00792546"/>
    <w:rsid w:val="007937FB"/>
    <w:rsid w:val="00793A20"/>
    <w:rsid w:val="00793D55"/>
    <w:rsid w:val="0079418A"/>
    <w:rsid w:val="0079573C"/>
    <w:rsid w:val="0079610A"/>
    <w:rsid w:val="00796844"/>
    <w:rsid w:val="00796B4E"/>
    <w:rsid w:val="00796C33"/>
    <w:rsid w:val="007970A4"/>
    <w:rsid w:val="007976D2"/>
    <w:rsid w:val="00797CE4"/>
    <w:rsid w:val="00797F1F"/>
    <w:rsid w:val="00797FA2"/>
    <w:rsid w:val="007A23B8"/>
    <w:rsid w:val="007A2A7F"/>
    <w:rsid w:val="007A3688"/>
    <w:rsid w:val="007A3738"/>
    <w:rsid w:val="007A38CC"/>
    <w:rsid w:val="007A3D06"/>
    <w:rsid w:val="007A3D08"/>
    <w:rsid w:val="007A424B"/>
    <w:rsid w:val="007A4BE6"/>
    <w:rsid w:val="007A54EC"/>
    <w:rsid w:val="007A58EF"/>
    <w:rsid w:val="007A5C5F"/>
    <w:rsid w:val="007A6436"/>
    <w:rsid w:val="007A64C2"/>
    <w:rsid w:val="007A65AB"/>
    <w:rsid w:val="007A6956"/>
    <w:rsid w:val="007A72FF"/>
    <w:rsid w:val="007A7351"/>
    <w:rsid w:val="007A7846"/>
    <w:rsid w:val="007A7C30"/>
    <w:rsid w:val="007A7D1B"/>
    <w:rsid w:val="007A7E3E"/>
    <w:rsid w:val="007B007B"/>
    <w:rsid w:val="007B08C1"/>
    <w:rsid w:val="007B0FC1"/>
    <w:rsid w:val="007B1B6A"/>
    <w:rsid w:val="007B1F22"/>
    <w:rsid w:val="007B20E6"/>
    <w:rsid w:val="007B26F9"/>
    <w:rsid w:val="007B2962"/>
    <w:rsid w:val="007B2A24"/>
    <w:rsid w:val="007B3066"/>
    <w:rsid w:val="007B3506"/>
    <w:rsid w:val="007B36B2"/>
    <w:rsid w:val="007B376D"/>
    <w:rsid w:val="007B3797"/>
    <w:rsid w:val="007B3A45"/>
    <w:rsid w:val="007B427C"/>
    <w:rsid w:val="007B4483"/>
    <w:rsid w:val="007B4525"/>
    <w:rsid w:val="007B51F4"/>
    <w:rsid w:val="007B5EF3"/>
    <w:rsid w:val="007B5F7F"/>
    <w:rsid w:val="007B5FAB"/>
    <w:rsid w:val="007B6C63"/>
    <w:rsid w:val="007B7146"/>
    <w:rsid w:val="007B7645"/>
    <w:rsid w:val="007B764A"/>
    <w:rsid w:val="007B78FC"/>
    <w:rsid w:val="007C00F2"/>
    <w:rsid w:val="007C02C4"/>
    <w:rsid w:val="007C05F8"/>
    <w:rsid w:val="007C0D24"/>
    <w:rsid w:val="007C1469"/>
    <w:rsid w:val="007C19A8"/>
    <w:rsid w:val="007C1D27"/>
    <w:rsid w:val="007C2529"/>
    <w:rsid w:val="007C267E"/>
    <w:rsid w:val="007C2C91"/>
    <w:rsid w:val="007C3CB5"/>
    <w:rsid w:val="007C40DC"/>
    <w:rsid w:val="007C4C17"/>
    <w:rsid w:val="007C51CC"/>
    <w:rsid w:val="007C51F2"/>
    <w:rsid w:val="007C5BEA"/>
    <w:rsid w:val="007C6AFF"/>
    <w:rsid w:val="007C6B5C"/>
    <w:rsid w:val="007C6FC3"/>
    <w:rsid w:val="007C704C"/>
    <w:rsid w:val="007C76E5"/>
    <w:rsid w:val="007C7CE7"/>
    <w:rsid w:val="007D0600"/>
    <w:rsid w:val="007D0FDB"/>
    <w:rsid w:val="007D12DC"/>
    <w:rsid w:val="007D1522"/>
    <w:rsid w:val="007D1E8C"/>
    <w:rsid w:val="007D2377"/>
    <w:rsid w:val="007D2787"/>
    <w:rsid w:val="007D2C9A"/>
    <w:rsid w:val="007D3215"/>
    <w:rsid w:val="007D38BF"/>
    <w:rsid w:val="007D3AFC"/>
    <w:rsid w:val="007D3BD3"/>
    <w:rsid w:val="007D40B8"/>
    <w:rsid w:val="007D453C"/>
    <w:rsid w:val="007D4FA8"/>
    <w:rsid w:val="007D5BB5"/>
    <w:rsid w:val="007D623D"/>
    <w:rsid w:val="007D65F4"/>
    <w:rsid w:val="007D6981"/>
    <w:rsid w:val="007D6ACC"/>
    <w:rsid w:val="007D6F09"/>
    <w:rsid w:val="007D6F4F"/>
    <w:rsid w:val="007D74B4"/>
    <w:rsid w:val="007D7CA6"/>
    <w:rsid w:val="007E07D2"/>
    <w:rsid w:val="007E0C1F"/>
    <w:rsid w:val="007E0DB2"/>
    <w:rsid w:val="007E0E7F"/>
    <w:rsid w:val="007E0E89"/>
    <w:rsid w:val="007E1CE9"/>
    <w:rsid w:val="007E2087"/>
    <w:rsid w:val="007E29DD"/>
    <w:rsid w:val="007E3894"/>
    <w:rsid w:val="007E3CD5"/>
    <w:rsid w:val="007E4032"/>
    <w:rsid w:val="007E4085"/>
    <w:rsid w:val="007E431C"/>
    <w:rsid w:val="007E4B33"/>
    <w:rsid w:val="007E53EF"/>
    <w:rsid w:val="007E5880"/>
    <w:rsid w:val="007E5907"/>
    <w:rsid w:val="007E5A02"/>
    <w:rsid w:val="007E5D66"/>
    <w:rsid w:val="007E667A"/>
    <w:rsid w:val="007E7089"/>
    <w:rsid w:val="007E7643"/>
    <w:rsid w:val="007F00FA"/>
    <w:rsid w:val="007F016C"/>
    <w:rsid w:val="007F09A6"/>
    <w:rsid w:val="007F1120"/>
    <w:rsid w:val="007F1A4D"/>
    <w:rsid w:val="007F1FFD"/>
    <w:rsid w:val="007F2121"/>
    <w:rsid w:val="007F22FB"/>
    <w:rsid w:val="007F257F"/>
    <w:rsid w:val="007F283E"/>
    <w:rsid w:val="007F2B00"/>
    <w:rsid w:val="007F2DD0"/>
    <w:rsid w:val="007F2F59"/>
    <w:rsid w:val="007F3210"/>
    <w:rsid w:val="007F40EA"/>
    <w:rsid w:val="007F460A"/>
    <w:rsid w:val="007F4AE0"/>
    <w:rsid w:val="007F5151"/>
    <w:rsid w:val="007F5A19"/>
    <w:rsid w:val="007F5EB7"/>
    <w:rsid w:val="007F6071"/>
    <w:rsid w:val="007F6364"/>
    <w:rsid w:val="007F6832"/>
    <w:rsid w:val="007F6BBA"/>
    <w:rsid w:val="007F6FDD"/>
    <w:rsid w:val="007F7443"/>
    <w:rsid w:val="007F79AA"/>
    <w:rsid w:val="007F7A53"/>
    <w:rsid w:val="007F7DCF"/>
    <w:rsid w:val="0080003E"/>
    <w:rsid w:val="0080060E"/>
    <w:rsid w:val="008008C4"/>
    <w:rsid w:val="00800A19"/>
    <w:rsid w:val="00800CBC"/>
    <w:rsid w:val="00800D2F"/>
    <w:rsid w:val="0080150A"/>
    <w:rsid w:val="00802144"/>
    <w:rsid w:val="008026CD"/>
    <w:rsid w:val="00802D8F"/>
    <w:rsid w:val="00803277"/>
    <w:rsid w:val="008038BC"/>
    <w:rsid w:val="00803BB5"/>
    <w:rsid w:val="00804310"/>
    <w:rsid w:val="00804B4D"/>
    <w:rsid w:val="00804B78"/>
    <w:rsid w:val="00804D62"/>
    <w:rsid w:val="00805012"/>
    <w:rsid w:val="0080588D"/>
    <w:rsid w:val="00807033"/>
    <w:rsid w:val="008072B6"/>
    <w:rsid w:val="0080732C"/>
    <w:rsid w:val="00807A32"/>
    <w:rsid w:val="00807AA8"/>
    <w:rsid w:val="00807BF5"/>
    <w:rsid w:val="00810025"/>
    <w:rsid w:val="00810087"/>
    <w:rsid w:val="00810372"/>
    <w:rsid w:val="00810C9C"/>
    <w:rsid w:val="00810D8B"/>
    <w:rsid w:val="008114FE"/>
    <w:rsid w:val="008126FB"/>
    <w:rsid w:val="00812716"/>
    <w:rsid w:val="00812E55"/>
    <w:rsid w:val="00812E81"/>
    <w:rsid w:val="00813727"/>
    <w:rsid w:val="00813AF3"/>
    <w:rsid w:val="00814561"/>
    <w:rsid w:val="0081499C"/>
    <w:rsid w:val="00814A70"/>
    <w:rsid w:val="00814BCE"/>
    <w:rsid w:val="00814C9A"/>
    <w:rsid w:val="00814F01"/>
    <w:rsid w:val="008151BE"/>
    <w:rsid w:val="00815404"/>
    <w:rsid w:val="00815BA7"/>
    <w:rsid w:val="0081638F"/>
    <w:rsid w:val="00816C38"/>
    <w:rsid w:val="00816E7B"/>
    <w:rsid w:val="0081783C"/>
    <w:rsid w:val="008204F7"/>
    <w:rsid w:val="008209D3"/>
    <w:rsid w:val="00820FF1"/>
    <w:rsid w:val="00821104"/>
    <w:rsid w:val="0082144C"/>
    <w:rsid w:val="00821D86"/>
    <w:rsid w:val="00821F99"/>
    <w:rsid w:val="008220B9"/>
    <w:rsid w:val="008224A9"/>
    <w:rsid w:val="00822AF0"/>
    <w:rsid w:val="0082325C"/>
    <w:rsid w:val="00823ABC"/>
    <w:rsid w:val="00823AD4"/>
    <w:rsid w:val="00824073"/>
    <w:rsid w:val="008243E9"/>
    <w:rsid w:val="00824D75"/>
    <w:rsid w:val="00825347"/>
    <w:rsid w:val="00825D54"/>
    <w:rsid w:val="00825F8D"/>
    <w:rsid w:val="00825FDF"/>
    <w:rsid w:val="0082601C"/>
    <w:rsid w:val="00826077"/>
    <w:rsid w:val="008260EA"/>
    <w:rsid w:val="008261CA"/>
    <w:rsid w:val="0082628A"/>
    <w:rsid w:val="00826499"/>
    <w:rsid w:val="00826A5A"/>
    <w:rsid w:val="00827003"/>
    <w:rsid w:val="008273D4"/>
    <w:rsid w:val="00830078"/>
    <w:rsid w:val="00830082"/>
    <w:rsid w:val="008307A6"/>
    <w:rsid w:val="00830E0D"/>
    <w:rsid w:val="00830E85"/>
    <w:rsid w:val="008319D2"/>
    <w:rsid w:val="00831AEB"/>
    <w:rsid w:val="008320DF"/>
    <w:rsid w:val="00832134"/>
    <w:rsid w:val="00832E3B"/>
    <w:rsid w:val="00833FAC"/>
    <w:rsid w:val="0083405D"/>
    <w:rsid w:val="008347E7"/>
    <w:rsid w:val="0083588D"/>
    <w:rsid w:val="0083597F"/>
    <w:rsid w:val="008371AA"/>
    <w:rsid w:val="0083731D"/>
    <w:rsid w:val="00837BFF"/>
    <w:rsid w:val="00840CEE"/>
    <w:rsid w:val="00840CFB"/>
    <w:rsid w:val="008414C4"/>
    <w:rsid w:val="008415B4"/>
    <w:rsid w:val="00841682"/>
    <w:rsid w:val="00841716"/>
    <w:rsid w:val="008417B7"/>
    <w:rsid w:val="00841808"/>
    <w:rsid w:val="008418F8"/>
    <w:rsid w:val="00841C4B"/>
    <w:rsid w:val="00842E30"/>
    <w:rsid w:val="00842ED3"/>
    <w:rsid w:val="00843093"/>
    <w:rsid w:val="00843383"/>
    <w:rsid w:val="008439F5"/>
    <w:rsid w:val="0084421A"/>
    <w:rsid w:val="008442E8"/>
    <w:rsid w:val="008452F7"/>
    <w:rsid w:val="008454D6"/>
    <w:rsid w:val="0084562F"/>
    <w:rsid w:val="00845767"/>
    <w:rsid w:val="00845F7B"/>
    <w:rsid w:val="00845FFB"/>
    <w:rsid w:val="00846193"/>
    <w:rsid w:val="0084620C"/>
    <w:rsid w:val="008464B9"/>
    <w:rsid w:val="008468FD"/>
    <w:rsid w:val="00846EE9"/>
    <w:rsid w:val="00846F4C"/>
    <w:rsid w:val="008470CE"/>
    <w:rsid w:val="00847124"/>
    <w:rsid w:val="00847FEC"/>
    <w:rsid w:val="0085085B"/>
    <w:rsid w:val="008508A2"/>
    <w:rsid w:val="00850C6B"/>
    <w:rsid w:val="0085108E"/>
    <w:rsid w:val="00851637"/>
    <w:rsid w:val="00851772"/>
    <w:rsid w:val="00851D99"/>
    <w:rsid w:val="00851E83"/>
    <w:rsid w:val="00851EFA"/>
    <w:rsid w:val="00852069"/>
    <w:rsid w:val="0085289E"/>
    <w:rsid w:val="00852AAF"/>
    <w:rsid w:val="00852B4C"/>
    <w:rsid w:val="00852C80"/>
    <w:rsid w:val="00854AAD"/>
    <w:rsid w:val="00854FF7"/>
    <w:rsid w:val="00855026"/>
    <w:rsid w:val="008551E4"/>
    <w:rsid w:val="00855536"/>
    <w:rsid w:val="00855927"/>
    <w:rsid w:val="00855B73"/>
    <w:rsid w:val="00855B84"/>
    <w:rsid w:val="00856799"/>
    <w:rsid w:val="0085682D"/>
    <w:rsid w:val="008568B7"/>
    <w:rsid w:val="00856D40"/>
    <w:rsid w:val="0085770A"/>
    <w:rsid w:val="00857A50"/>
    <w:rsid w:val="00857C40"/>
    <w:rsid w:val="00857DD3"/>
    <w:rsid w:val="00860608"/>
    <w:rsid w:val="00860B92"/>
    <w:rsid w:val="00860C22"/>
    <w:rsid w:val="0086160C"/>
    <w:rsid w:val="00861610"/>
    <w:rsid w:val="00861992"/>
    <w:rsid w:val="00861C95"/>
    <w:rsid w:val="00861E2E"/>
    <w:rsid w:val="008628B8"/>
    <w:rsid w:val="0086298D"/>
    <w:rsid w:val="00862F22"/>
    <w:rsid w:val="00863086"/>
    <w:rsid w:val="00863A65"/>
    <w:rsid w:val="00863C16"/>
    <w:rsid w:val="00864629"/>
    <w:rsid w:val="00865441"/>
    <w:rsid w:val="00865F64"/>
    <w:rsid w:val="00866521"/>
    <w:rsid w:val="00866921"/>
    <w:rsid w:val="0086749F"/>
    <w:rsid w:val="00867D81"/>
    <w:rsid w:val="00867FFD"/>
    <w:rsid w:val="00870B79"/>
    <w:rsid w:val="00871501"/>
    <w:rsid w:val="00871711"/>
    <w:rsid w:val="008725E9"/>
    <w:rsid w:val="0087272C"/>
    <w:rsid w:val="00872970"/>
    <w:rsid w:val="00872AC6"/>
    <w:rsid w:val="00872C9A"/>
    <w:rsid w:val="00872CE3"/>
    <w:rsid w:val="00872DA5"/>
    <w:rsid w:val="00873DED"/>
    <w:rsid w:val="00874214"/>
    <w:rsid w:val="008743B8"/>
    <w:rsid w:val="008748B9"/>
    <w:rsid w:val="00874ADA"/>
    <w:rsid w:val="00874C24"/>
    <w:rsid w:val="00874FB6"/>
    <w:rsid w:val="00875981"/>
    <w:rsid w:val="00875A0B"/>
    <w:rsid w:val="00875E18"/>
    <w:rsid w:val="0087600E"/>
    <w:rsid w:val="00876266"/>
    <w:rsid w:val="008765FF"/>
    <w:rsid w:val="00876E61"/>
    <w:rsid w:val="00877880"/>
    <w:rsid w:val="008778FD"/>
    <w:rsid w:val="00880653"/>
    <w:rsid w:val="00880E6A"/>
    <w:rsid w:val="00881483"/>
    <w:rsid w:val="00881C5C"/>
    <w:rsid w:val="008825E8"/>
    <w:rsid w:val="0088295E"/>
    <w:rsid w:val="0088368D"/>
    <w:rsid w:val="00883C84"/>
    <w:rsid w:val="00884106"/>
    <w:rsid w:val="00884503"/>
    <w:rsid w:val="0088486F"/>
    <w:rsid w:val="00885018"/>
    <w:rsid w:val="0088609B"/>
    <w:rsid w:val="0088636D"/>
    <w:rsid w:val="0088678D"/>
    <w:rsid w:val="00887097"/>
    <w:rsid w:val="0088732F"/>
    <w:rsid w:val="008876A3"/>
    <w:rsid w:val="00887B3A"/>
    <w:rsid w:val="00887EDA"/>
    <w:rsid w:val="00890450"/>
    <w:rsid w:val="00890491"/>
    <w:rsid w:val="00890811"/>
    <w:rsid w:val="008909C4"/>
    <w:rsid w:val="00890D50"/>
    <w:rsid w:val="0089143D"/>
    <w:rsid w:val="0089151D"/>
    <w:rsid w:val="00891853"/>
    <w:rsid w:val="00891BE6"/>
    <w:rsid w:val="00891D67"/>
    <w:rsid w:val="00891F6A"/>
    <w:rsid w:val="008923F0"/>
    <w:rsid w:val="00892582"/>
    <w:rsid w:val="00892770"/>
    <w:rsid w:val="00892931"/>
    <w:rsid w:val="008929D2"/>
    <w:rsid w:val="008937C7"/>
    <w:rsid w:val="00893BF0"/>
    <w:rsid w:val="008941D4"/>
    <w:rsid w:val="008942DE"/>
    <w:rsid w:val="008943C9"/>
    <w:rsid w:val="00894661"/>
    <w:rsid w:val="0089466B"/>
    <w:rsid w:val="00894A0E"/>
    <w:rsid w:val="008951D1"/>
    <w:rsid w:val="00895B0B"/>
    <w:rsid w:val="00895CF4"/>
    <w:rsid w:val="00895EE2"/>
    <w:rsid w:val="0089677A"/>
    <w:rsid w:val="0089754F"/>
    <w:rsid w:val="008A04CD"/>
    <w:rsid w:val="008A0905"/>
    <w:rsid w:val="008A0AEE"/>
    <w:rsid w:val="008A10BE"/>
    <w:rsid w:val="008A1673"/>
    <w:rsid w:val="008A16EF"/>
    <w:rsid w:val="008A1E65"/>
    <w:rsid w:val="008A1FD7"/>
    <w:rsid w:val="008A250D"/>
    <w:rsid w:val="008A2771"/>
    <w:rsid w:val="008A2DAD"/>
    <w:rsid w:val="008A353D"/>
    <w:rsid w:val="008A37CA"/>
    <w:rsid w:val="008A3BDE"/>
    <w:rsid w:val="008A4B19"/>
    <w:rsid w:val="008A4C35"/>
    <w:rsid w:val="008A50C8"/>
    <w:rsid w:val="008A51DB"/>
    <w:rsid w:val="008A52F5"/>
    <w:rsid w:val="008A551D"/>
    <w:rsid w:val="008A5912"/>
    <w:rsid w:val="008A5ADD"/>
    <w:rsid w:val="008A6969"/>
    <w:rsid w:val="008A69BF"/>
    <w:rsid w:val="008A6BB1"/>
    <w:rsid w:val="008A6C4D"/>
    <w:rsid w:val="008A70F6"/>
    <w:rsid w:val="008A743E"/>
    <w:rsid w:val="008A746E"/>
    <w:rsid w:val="008A7670"/>
    <w:rsid w:val="008A79E9"/>
    <w:rsid w:val="008A7F20"/>
    <w:rsid w:val="008B013D"/>
    <w:rsid w:val="008B046C"/>
    <w:rsid w:val="008B0BD8"/>
    <w:rsid w:val="008B0D10"/>
    <w:rsid w:val="008B0F2B"/>
    <w:rsid w:val="008B1642"/>
    <w:rsid w:val="008B16CD"/>
    <w:rsid w:val="008B1DD9"/>
    <w:rsid w:val="008B20CF"/>
    <w:rsid w:val="008B211E"/>
    <w:rsid w:val="008B220E"/>
    <w:rsid w:val="008B2504"/>
    <w:rsid w:val="008B2533"/>
    <w:rsid w:val="008B284D"/>
    <w:rsid w:val="008B2C5F"/>
    <w:rsid w:val="008B3120"/>
    <w:rsid w:val="008B3727"/>
    <w:rsid w:val="008B3D3E"/>
    <w:rsid w:val="008B4815"/>
    <w:rsid w:val="008B4FD3"/>
    <w:rsid w:val="008B543B"/>
    <w:rsid w:val="008B56B8"/>
    <w:rsid w:val="008B57A0"/>
    <w:rsid w:val="008B5840"/>
    <w:rsid w:val="008B6A99"/>
    <w:rsid w:val="008B6D65"/>
    <w:rsid w:val="008B72AB"/>
    <w:rsid w:val="008B7370"/>
    <w:rsid w:val="008B77B1"/>
    <w:rsid w:val="008C02FD"/>
    <w:rsid w:val="008C06A1"/>
    <w:rsid w:val="008C095A"/>
    <w:rsid w:val="008C0FF2"/>
    <w:rsid w:val="008C17C6"/>
    <w:rsid w:val="008C1801"/>
    <w:rsid w:val="008C1AA0"/>
    <w:rsid w:val="008C29A9"/>
    <w:rsid w:val="008C2DA4"/>
    <w:rsid w:val="008C3509"/>
    <w:rsid w:val="008C483D"/>
    <w:rsid w:val="008C4C73"/>
    <w:rsid w:val="008C4EDA"/>
    <w:rsid w:val="008C5238"/>
    <w:rsid w:val="008C52BE"/>
    <w:rsid w:val="008C5979"/>
    <w:rsid w:val="008C5BF8"/>
    <w:rsid w:val="008C60FA"/>
    <w:rsid w:val="008C6397"/>
    <w:rsid w:val="008C6459"/>
    <w:rsid w:val="008C65DD"/>
    <w:rsid w:val="008C6E2E"/>
    <w:rsid w:val="008C6EEF"/>
    <w:rsid w:val="008C71F4"/>
    <w:rsid w:val="008C7A5E"/>
    <w:rsid w:val="008D00EB"/>
    <w:rsid w:val="008D01B5"/>
    <w:rsid w:val="008D0380"/>
    <w:rsid w:val="008D0D2A"/>
    <w:rsid w:val="008D1094"/>
    <w:rsid w:val="008D14CD"/>
    <w:rsid w:val="008D1D55"/>
    <w:rsid w:val="008D1E75"/>
    <w:rsid w:val="008D1F94"/>
    <w:rsid w:val="008D2148"/>
    <w:rsid w:val="008D2326"/>
    <w:rsid w:val="008D2475"/>
    <w:rsid w:val="008D2753"/>
    <w:rsid w:val="008D280A"/>
    <w:rsid w:val="008D301B"/>
    <w:rsid w:val="008D37C7"/>
    <w:rsid w:val="008D38E7"/>
    <w:rsid w:val="008D3F34"/>
    <w:rsid w:val="008D4398"/>
    <w:rsid w:val="008D44FD"/>
    <w:rsid w:val="008D470C"/>
    <w:rsid w:val="008D491E"/>
    <w:rsid w:val="008D4FD4"/>
    <w:rsid w:val="008D54DD"/>
    <w:rsid w:val="008D5835"/>
    <w:rsid w:val="008D595F"/>
    <w:rsid w:val="008D5B85"/>
    <w:rsid w:val="008D6293"/>
    <w:rsid w:val="008D6B64"/>
    <w:rsid w:val="008D6E62"/>
    <w:rsid w:val="008D709D"/>
    <w:rsid w:val="008D7149"/>
    <w:rsid w:val="008D7311"/>
    <w:rsid w:val="008D7C90"/>
    <w:rsid w:val="008E003A"/>
    <w:rsid w:val="008E0861"/>
    <w:rsid w:val="008E1619"/>
    <w:rsid w:val="008E1995"/>
    <w:rsid w:val="008E1E58"/>
    <w:rsid w:val="008E1E9B"/>
    <w:rsid w:val="008E2F0A"/>
    <w:rsid w:val="008E2F71"/>
    <w:rsid w:val="008E30D5"/>
    <w:rsid w:val="008E30EC"/>
    <w:rsid w:val="008E3B14"/>
    <w:rsid w:val="008E408E"/>
    <w:rsid w:val="008E4A4E"/>
    <w:rsid w:val="008E62F7"/>
    <w:rsid w:val="008E6458"/>
    <w:rsid w:val="008E6B16"/>
    <w:rsid w:val="008E72AD"/>
    <w:rsid w:val="008E777E"/>
    <w:rsid w:val="008E7A0D"/>
    <w:rsid w:val="008E7B02"/>
    <w:rsid w:val="008E7C1B"/>
    <w:rsid w:val="008F013A"/>
    <w:rsid w:val="008F05AB"/>
    <w:rsid w:val="008F068B"/>
    <w:rsid w:val="008F0B9B"/>
    <w:rsid w:val="008F1013"/>
    <w:rsid w:val="008F1286"/>
    <w:rsid w:val="008F1849"/>
    <w:rsid w:val="008F2539"/>
    <w:rsid w:val="008F2D3F"/>
    <w:rsid w:val="008F3E26"/>
    <w:rsid w:val="008F4507"/>
    <w:rsid w:val="008F4BE9"/>
    <w:rsid w:val="008F4D40"/>
    <w:rsid w:val="008F5091"/>
    <w:rsid w:val="008F512A"/>
    <w:rsid w:val="008F54A9"/>
    <w:rsid w:val="008F5610"/>
    <w:rsid w:val="008F5778"/>
    <w:rsid w:val="008F58F4"/>
    <w:rsid w:val="008F5A69"/>
    <w:rsid w:val="008F5C9A"/>
    <w:rsid w:val="008F6162"/>
    <w:rsid w:val="008F69EC"/>
    <w:rsid w:val="008F7021"/>
    <w:rsid w:val="008F7332"/>
    <w:rsid w:val="008F7A76"/>
    <w:rsid w:val="008F7E04"/>
    <w:rsid w:val="009001F2"/>
    <w:rsid w:val="0090031F"/>
    <w:rsid w:val="00900B4B"/>
    <w:rsid w:val="009025D5"/>
    <w:rsid w:val="00902BDD"/>
    <w:rsid w:val="00902E76"/>
    <w:rsid w:val="0090306F"/>
    <w:rsid w:val="00903697"/>
    <w:rsid w:val="00903B47"/>
    <w:rsid w:val="00904155"/>
    <w:rsid w:val="00904214"/>
    <w:rsid w:val="009042BB"/>
    <w:rsid w:val="0090485D"/>
    <w:rsid w:val="00904AD2"/>
    <w:rsid w:val="00904EFE"/>
    <w:rsid w:val="009058AC"/>
    <w:rsid w:val="00906298"/>
    <w:rsid w:val="00906737"/>
    <w:rsid w:val="00906C19"/>
    <w:rsid w:val="00907396"/>
    <w:rsid w:val="009075D3"/>
    <w:rsid w:val="00907696"/>
    <w:rsid w:val="0090790C"/>
    <w:rsid w:val="00907ECE"/>
    <w:rsid w:val="0091054A"/>
    <w:rsid w:val="0091065B"/>
    <w:rsid w:val="00910694"/>
    <w:rsid w:val="009108B8"/>
    <w:rsid w:val="00910F89"/>
    <w:rsid w:val="00911965"/>
    <w:rsid w:val="00912434"/>
    <w:rsid w:val="0091298F"/>
    <w:rsid w:val="00912B20"/>
    <w:rsid w:val="009136A8"/>
    <w:rsid w:val="00913A03"/>
    <w:rsid w:val="009147F2"/>
    <w:rsid w:val="00914F7F"/>
    <w:rsid w:val="00915199"/>
    <w:rsid w:val="0091673A"/>
    <w:rsid w:val="00916757"/>
    <w:rsid w:val="009168F0"/>
    <w:rsid w:val="00916A26"/>
    <w:rsid w:val="00916DC8"/>
    <w:rsid w:val="0091761A"/>
    <w:rsid w:val="00917B12"/>
    <w:rsid w:val="0092002A"/>
    <w:rsid w:val="00920A20"/>
    <w:rsid w:val="00921218"/>
    <w:rsid w:val="0092133D"/>
    <w:rsid w:val="009213A5"/>
    <w:rsid w:val="00921617"/>
    <w:rsid w:val="00921681"/>
    <w:rsid w:val="009217DD"/>
    <w:rsid w:val="00921C45"/>
    <w:rsid w:val="00921DDD"/>
    <w:rsid w:val="0092212C"/>
    <w:rsid w:val="00922862"/>
    <w:rsid w:val="00922EA1"/>
    <w:rsid w:val="009232AD"/>
    <w:rsid w:val="009233F0"/>
    <w:rsid w:val="0092349F"/>
    <w:rsid w:val="00923A6B"/>
    <w:rsid w:val="00923E46"/>
    <w:rsid w:val="00924210"/>
    <w:rsid w:val="00924A14"/>
    <w:rsid w:val="00924B6D"/>
    <w:rsid w:val="00925776"/>
    <w:rsid w:val="00926489"/>
    <w:rsid w:val="00926899"/>
    <w:rsid w:val="00926992"/>
    <w:rsid w:val="00926D5E"/>
    <w:rsid w:val="0092766A"/>
    <w:rsid w:val="0092780E"/>
    <w:rsid w:val="00927A0F"/>
    <w:rsid w:val="00927BA0"/>
    <w:rsid w:val="00927C25"/>
    <w:rsid w:val="00927D95"/>
    <w:rsid w:val="0093017F"/>
    <w:rsid w:val="0093024F"/>
    <w:rsid w:val="0093123E"/>
    <w:rsid w:val="00931B19"/>
    <w:rsid w:val="00932299"/>
    <w:rsid w:val="00932A37"/>
    <w:rsid w:val="00932C1A"/>
    <w:rsid w:val="00932CD6"/>
    <w:rsid w:val="0093306F"/>
    <w:rsid w:val="0093325F"/>
    <w:rsid w:val="009333F4"/>
    <w:rsid w:val="00933641"/>
    <w:rsid w:val="009336D8"/>
    <w:rsid w:val="00933F3B"/>
    <w:rsid w:val="0093496A"/>
    <w:rsid w:val="009356AA"/>
    <w:rsid w:val="00935840"/>
    <w:rsid w:val="00935AAE"/>
    <w:rsid w:val="00935E63"/>
    <w:rsid w:val="00936C87"/>
    <w:rsid w:val="00936FC3"/>
    <w:rsid w:val="00937071"/>
    <w:rsid w:val="009373B5"/>
    <w:rsid w:val="0093774B"/>
    <w:rsid w:val="00937C9F"/>
    <w:rsid w:val="0094056E"/>
    <w:rsid w:val="00941326"/>
    <w:rsid w:val="00941C51"/>
    <w:rsid w:val="00941D0E"/>
    <w:rsid w:val="0094212C"/>
    <w:rsid w:val="00942584"/>
    <w:rsid w:val="009429EE"/>
    <w:rsid w:val="00942ECE"/>
    <w:rsid w:val="00943AD5"/>
    <w:rsid w:val="00943DF6"/>
    <w:rsid w:val="00943EA9"/>
    <w:rsid w:val="00943ED2"/>
    <w:rsid w:val="009443E1"/>
    <w:rsid w:val="0094507D"/>
    <w:rsid w:val="009452B2"/>
    <w:rsid w:val="00945A37"/>
    <w:rsid w:val="00946317"/>
    <w:rsid w:val="00946664"/>
    <w:rsid w:val="009479AE"/>
    <w:rsid w:val="00947B32"/>
    <w:rsid w:val="00947E31"/>
    <w:rsid w:val="00947F0B"/>
    <w:rsid w:val="00947FCA"/>
    <w:rsid w:val="009507B4"/>
    <w:rsid w:val="0095086F"/>
    <w:rsid w:val="009509FF"/>
    <w:rsid w:val="00950FE0"/>
    <w:rsid w:val="00951C8C"/>
    <w:rsid w:val="00951D31"/>
    <w:rsid w:val="00952A45"/>
    <w:rsid w:val="00952E47"/>
    <w:rsid w:val="00952EE7"/>
    <w:rsid w:val="00952F93"/>
    <w:rsid w:val="00953849"/>
    <w:rsid w:val="00953905"/>
    <w:rsid w:val="00953E17"/>
    <w:rsid w:val="0095458C"/>
    <w:rsid w:val="00955293"/>
    <w:rsid w:val="00955890"/>
    <w:rsid w:val="00955986"/>
    <w:rsid w:val="00955A78"/>
    <w:rsid w:val="00955A9F"/>
    <w:rsid w:val="00956443"/>
    <w:rsid w:val="00956500"/>
    <w:rsid w:val="0095651C"/>
    <w:rsid w:val="00956DBF"/>
    <w:rsid w:val="00956EFB"/>
    <w:rsid w:val="009572F8"/>
    <w:rsid w:val="0095742C"/>
    <w:rsid w:val="00957568"/>
    <w:rsid w:val="009577C3"/>
    <w:rsid w:val="00957AEC"/>
    <w:rsid w:val="00957C60"/>
    <w:rsid w:val="00961275"/>
    <w:rsid w:val="00961854"/>
    <w:rsid w:val="00961A6D"/>
    <w:rsid w:val="00961D38"/>
    <w:rsid w:val="00963491"/>
    <w:rsid w:val="00963C76"/>
    <w:rsid w:val="00964935"/>
    <w:rsid w:val="00964A51"/>
    <w:rsid w:val="00964EF4"/>
    <w:rsid w:val="0096539B"/>
    <w:rsid w:val="009654EC"/>
    <w:rsid w:val="009663E1"/>
    <w:rsid w:val="009667FC"/>
    <w:rsid w:val="00967114"/>
    <w:rsid w:val="009706A9"/>
    <w:rsid w:val="0097097C"/>
    <w:rsid w:val="00970FB1"/>
    <w:rsid w:val="0097128B"/>
    <w:rsid w:val="00971315"/>
    <w:rsid w:val="009716CB"/>
    <w:rsid w:val="0097212D"/>
    <w:rsid w:val="00972721"/>
    <w:rsid w:val="009727D7"/>
    <w:rsid w:val="009732BC"/>
    <w:rsid w:val="0097339D"/>
    <w:rsid w:val="009736EC"/>
    <w:rsid w:val="00973908"/>
    <w:rsid w:val="00973ADF"/>
    <w:rsid w:val="00973DCB"/>
    <w:rsid w:val="00973FC3"/>
    <w:rsid w:val="0097401D"/>
    <w:rsid w:val="0097478B"/>
    <w:rsid w:val="009749E1"/>
    <w:rsid w:val="00974D09"/>
    <w:rsid w:val="0097568B"/>
    <w:rsid w:val="00975D9F"/>
    <w:rsid w:val="009760AF"/>
    <w:rsid w:val="00976BF1"/>
    <w:rsid w:val="00977EB3"/>
    <w:rsid w:val="00977F7E"/>
    <w:rsid w:val="009801E6"/>
    <w:rsid w:val="009804EC"/>
    <w:rsid w:val="009808F3"/>
    <w:rsid w:val="00980C8E"/>
    <w:rsid w:val="00980C9B"/>
    <w:rsid w:val="00980CDD"/>
    <w:rsid w:val="00981178"/>
    <w:rsid w:val="00981F00"/>
    <w:rsid w:val="00981FC8"/>
    <w:rsid w:val="009821EA"/>
    <w:rsid w:val="009827A7"/>
    <w:rsid w:val="00982D3D"/>
    <w:rsid w:val="00982D72"/>
    <w:rsid w:val="00982D96"/>
    <w:rsid w:val="0098300E"/>
    <w:rsid w:val="009831E0"/>
    <w:rsid w:val="0098341B"/>
    <w:rsid w:val="00983C98"/>
    <w:rsid w:val="00983D63"/>
    <w:rsid w:val="00984713"/>
    <w:rsid w:val="00984722"/>
    <w:rsid w:val="00984AED"/>
    <w:rsid w:val="00984C8C"/>
    <w:rsid w:val="009852EA"/>
    <w:rsid w:val="009854E9"/>
    <w:rsid w:val="0098554D"/>
    <w:rsid w:val="0098555C"/>
    <w:rsid w:val="009856B8"/>
    <w:rsid w:val="009866A9"/>
    <w:rsid w:val="00986717"/>
    <w:rsid w:val="0098696B"/>
    <w:rsid w:val="00986977"/>
    <w:rsid w:val="00986A52"/>
    <w:rsid w:val="00986C2B"/>
    <w:rsid w:val="00986DBC"/>
    <w:rsid w:val="009871E8"/>
    <w:rsid w:val="009872DB"/>
    <w:rsid w:val="0098761A"/>
    <w:rsid w:val="009909F9"/>
    <w:rsid w:val="00990C94"/>
    <w:rsid w:val="00990E4E"/>
    <w:rsid w:val="00990F17"/>
    <w:rsid w:val="009910A7"/>
    <w:rsid w:val="00991129"/>
    <w:rsid w:val="009911EA"/>
    <w:rsid w:val="0099120D"/>
    <w:rsid w:val="00991499"/>
    <w:rsid w:val="009917E4"/>
    <w:rsid w:val="00991A6C"/>
    <w:rsid w:val="00992166"/>
    <w:rsid w:val="00992757"/>
    <w:rsid w:val="0099276F"/>
    <w:rsid w:val="009931A1"/>
    <w:rsid w:val="0099358D"/>
    <w:rsid w:val="00993D6E"/>
    <w:rsid w:val="00993DF7"/>
    <w:rsid w:val="009942CB"/>
    <w:rsid w:val="0099482E"/>
    <w:rsid w:val="0099492F"/>
    <w:rsid w:val="00994A88"/>
    <w:rsid w:val="0099564A"/>
    <w:rsid w:val="00995D1D"/>
    <w:rsid w:val="00995E22"/>
    <w:rsid w:val="00995EF0"/>
    <w:rsid w:val="00995F6F"/>
    <w:rsid w:val="00996660"/>
    <w:rsid w:val="00996725"/>
    <w:rsid w:val="00997018"/>
    <w:rsid w:val="00997492"/>
    <w:rsid w:val="00997D63"/>
    <w:rsid w:val="009A0817"/>
    <w:rsid w:val="009A08F2"/>
    <w:rsid w:val="009A095D"/>
    <w:rsid w:val="009A12F4"/>
    <w:rsid w:val="009A1338"/>
    <w:rsid w:val="009A158C"/>
    <w:rsid w:val="009A1794"/>
    <w:rsid w:val="009A19E3"/>
    <w:rsid w:val="009A19F8"/>
    <w:rsid w:val="009A208E"/>
    <w:rsid w:val="009A2979"/>
    <w:rsid w:val="009A2B0D"/>
    <w:rsid w:val="009A2F87"/>
    <w:rsid w:val="009A379F"/>
    <w:rsid w:val="009A3C16"/>
    <w:rsid w:val="009A3CB0"/>
    <w:rsid w:val="009A3EEE"/>
    <w:rsid w:val="009A40B9"/>
    <w:rsid w:val="009A4579"/>
    <w:rsid w:val="009A496C"/>
    <w:rsid w:val="009A4BAC"/>
    <w:rsid w:val="009A5020"/>
    <w:rsid w:val="009A51A0"/>
    <w:rsid w:val="009A5201"/>
    <w:rsid w:val="009A5570"/>
    <w:rsid w:val="009A5A7E"/>
    <w:rsid w:val="009A63AB"/>
    <w:rsid w:val="009A6654"/>
    <w:rsid w:val="009A68F7"/>
    <w:rsid w:val="009A6DF0"/>
    <w:rsid w:val="009A6E07"/>
    <w:rsid w:val="009A7209"/>
    <w:rsid w:val="009A72E3"/>
    <w:rsid w:val="009A7CF8"/>
    <w:rsid w:val="009B0047"/>
    <w:rsid w:val="009B04E5"/>
    <w:rsid w:val="009B079F"/>
    <w:rsid w:val="009B08B3"/>
    <w:rsid w:val="009B08DE"/>
    <w:rsid w:val="009B0D5C"/>
    <w:rsid w:val="009B0EE3"/>
    <w:rsid w:val="009B0FC7"/>
    <w:rsid w:val="009B102E"/>
    <w:rsid w:val="009B199E"/>
    <w:rsid w:val="009B1A4D"/>
    <w:rsid w:val="009B2059"/>
    <w:rsid w:val="009B297A"/>
    <w:rsid w:val="009B3736"/>
    <w:rsid w:val="009B37F9"/>
    <w:rsid w:val="009B385E"/>
    <w:rsid w:val="009B392B"/>
    <w:rsid w:val="009B4388"/>
    <w:rsid w:val="009B4395"/>
    <w:rsid w:val="009B4AE7"/>
    <w:rsid w:val="009B4B14"/>
    <w:rsid w:val="009B4B45"/>
    <w:rsid w:val="009B4E1D"/>
    <w:rsid w:val="009B55A4"/>
    <w:rsid w:val="009B59AF"/>
    <w:rsid w:val="009B59F4"/>
    <w:rsid w:val="009B5A4C"/>
    <w:rsid w:val="009B61F2"/>
    <w:rsid w:val="009B649B"/>
    <w:rsid w:val="009B65D5"/>
    <w:rsid w:val="009B6820"/>
    <w:rsid w:val="009B699B"/>
    <w:rsid w:val="009B699F"/>
    <w:rsid w:val="009B6A69"/>
    <w:rsid w:val="009B7932"/>
    <w:rsid w:val="009C1048"/>
    <w:rsid w:val="009C14E6"/>
    <w:rsid w:val="009C1767"/>
    <w:rsid w:val="009C1A6B"/>
    <w:rsid w:val="009C1C9E"/>
    <w:rsid w:val="009C2402"/>
    <w:rsid w:val="009C24BB"/>
    <w:rsid w:val="009C3199"/>
    <w:rsid w:val="009C336E"/>
    <w:rsid w:val="009C3C02"/>
    <w:rsid w:val="009C43DE"/>
    <w:rsid w:val="009C45FB"/>
    <w:rsid w:val="009C49BA"/>
    <w:rsid w:val="009C536D"/>
    <w:rsid w:val="009C6489"/>
    <w:rsid w:val="009C6D2A"/>
    <w:rsid w:val="009C6D78"/>
    <w:rsid w:val="009C6DEF"/>
    <w:rsid w:val="009C722E"/>
    <w:rsid w:val="009C75E9"/>
    <w:rsid w:val="009C78A7"/>
    <w:rsid w:val="009C7A6E"/>
    <w:rsid w:val="009C7E5A"/>
    <w:rsid w:val="009C7E8E"/>
    <w:rsid w:val="009D0E58"/>
    <w:rsid w:val="009D1264"/>
    <w:rsid w:val="009D16F4"/>
    <w:rsid w:val="009D1B4A"/>
    <w:rsid w:val="009D1B6C"/>
    <w:rsid w:val="009D3270"/>
    <w:rsid w:val="009D336B"/>
    <w:rsid w:val="009D35A4"/>
    <w:rsid w:val="009D36B0"/>
    <w:rsid w:val="009D391E"/>
    <w:rsid w:val="009D39B8"/>
    <w:rsid w:val="009D3A7D"/>
    <w:rsid w:val="009D3AFD"/>
    <w:rsid w:val="009D3BE8"/>
    <w:rsid w:val="009D3DD7"/>
    <w:rsid w:val="009D3F7A"/>
    <w:rsid w:val="009D53DD"/>
    <w:rsid w:val="009D5A22"/>
    <w:rsid w:val="009D5C3D"/>
    <w:rsid w:val="009D5C81"/>
    <w:rsid w:val="009D6316"/>
    <w:rsid w:val="009D63C7"/>
    <w:rsid w:val="009D64A3"/>
    <w:rsid w:val="009D76BE"/>
    <w:rsid w:val="009D7909"/>
    <w:rsid w:val="009D7BD7"/>
    <w:rsid w:val="009E00C1"/>
    <w:rsid w:val="009E025C"/>
    <w:rsid w:val="009E0492"/>
    <w:rsid w:val="009E090F"/>
    <w:rsid w:val="009E1642"/>
    <w:rsid w:val="009E1C49"/>
    <w:rsid w:val="009E1F7C"/>
    <w:rsid w:val="009E23CD"/>
    <w:rsid w:val="009E24AE"/>
    <w:rsid w:val="009E2835"/>
    <w:rsid w:val="009E2AC7"/>
    <w:rsid w:val="009E2BC1"/>
    <w:rsid w:val="009E347C"/>
    <w:rsid w:val="009E423B"/>
    <w:rsid w:val="009E42CA"/>
    <w:rsid w:val="009E47D8"/>
    <w:rsid w:val="009E5B57"/>
    <w:rsid w:val="009E5F75"/>
    <w:rsid w:val="009E6090"/>
    <w:rsid w:val="009E62E8"/>
    <w:rsid w:val="009E67D5"/>
    <w:rsid w:val="009E69DA"/>
    <w:rsid w:val="009E6CAB"/>
    <w:rsid w:val="009E70E5"/>
    <w:rsid w:val="009E7E22"/>
    <w:rsid w:val="009F1797"/>
    <w:rsid w:val="009F1915"/>
    <w:rsid w:val="009F1992"/>
    <w:rsid w:val="009F2033"/>
    <w:rsid w:val="009F3736"/>
    <w:rsid w:val="009F3D3C"/>
    <w:rsid w:val="009F47DF"/>
    <w:rsid w:val="009F49C6"/>
    <w:rsid w:val="009F4C62"/>
    <w:rsid w:val="009F5253"/>
    <w:rsid w:val="009F57C5"/>
    <w:rsid w:val="009F62C5"/>
    <w:rsid w:val="009F63E9"/>
    <w:rsid w:val="009F6B55"/>
    <w:rsid w:val="009F6C4D"/>
    <w:rsid w:val="009F730D"/>
    <w:rsid w:val="009F73BA"/>
    <w:rsid w:val="009F75FB"/>
    <w:rsid w:val="009F7C8E"/>
    <w:rsid w:val="009F7CB3"/>
    <w:rsid w:val="00A0053F"/>
    <w:rsid w:val="00A0058C"/>
    <w:rsid w:val="00A00746"/>
    <w:rsid w:val="00A014B3"/>
    <w:rsid w:val="00A016A0"/>
    <w:rsid w:val="00A01B1B"/>
    <w:rsid w:val="00A02855"/>
    <w:rsid w:val="00A02978"/>
    <w:rsid w:val="00A02F01"/>
    <w:rsid w:val="00A03149"/>
    <w:rsid w:val="00A03698"/>
    <w:rsid w:val="00A04039"/>
    <w:rsid w:val="00A041B9"/>
    <w:rsid w:val="00A04796"/>
    <w:rsid w:val="00A0581C"/>
    <w:rsid w:val="00A05869"/>
    <w:rsid w:val="00A06ADD"/>
    <w:rsid w:val="00A06C61"/>
    <w:rsid w:val="00A06F8B"/>
    <w:rsid w:val="00A07696"/>
    <w:rsid w:val="00A07AE0"/>
    <w:rsid w:val="00A07C80"/>
    <w:rsid w:val="00A07D5E"/>
    <w:rsid w:val="00A07ED0"/>
    <w:rsid w:val="00A10629"/>
    <w:rsid w:val="00A11044"/>
    <w:rsid w:val="00A11B71"/>
    <w:rsid w:val="00A11F0C"/>
    <w:rsid w:val="00A126C1"/>
    <w:rsid w:val="00A12779"/>
    <w:rsid w:val="00A12B83"/>
    <w:rsid w:val="00A1355E"/>
    <w:rsid w:val="00A13C4C"/>
    <w:rsid w:val="00A14402"/>
    <w:rsid w:val="00A154B8"/>
    <w:rsid w:val="00A15B29"/>
    <w:rsid w:val="00A15B40"/>
    <w:rsid w:val="00A15FEE"/>
    <w:rsid w:val="00A16333"/>
    <w:rsid w:val="00A16435"/>
    <w:rsid w:val="00A16463"/>
    <w:rsid w:val="00A1684F"/>
    <w:rsid w:val="00A16B4D"/>
    <w:rsid w:val="00A16CC2"/>
    <w:rsid w:val="00A16F88"/>
    <w:rsid w:val="00A16FBA"/>
    <w:rsid w:val="00A171C6"/>
    <w:rsid w:val="00A17682"/>
    <w:rsid w:val="00A17A06"/>
    <w:rsid w:val="00A17B20"/>
    <w:rsid w:val="00A17F17"/>
    <w:rsid w:val="00A17FAC"/>
    <w:rsid w:val="00A2175D"/>
    <w:rsid w:val="00A217FD"/>
    <w:rsid w:val="00A22044"/>
    <w:rsid w:val="00A22624"/>
    <w:rsid w:val="00A23BE3"/>
    <w:rsid w:val="00A23F86"/>
    <w:rsid w:val="00A24062"/>
    <w:rsid w:val="00A240FB"/>
    <w:rsid w:val="00A241BE"/>
    <w:rsid w:val="00A247E6"/>
    <w:rsid w:val="00A24804"/>
    <w:rsid w:val="00A251AE"/>
    <w:rsid w:val="00A251B3"/>
    <w:rsid w:val="00A251DA"/>
    <w:rsid w:val="00A258F1"/>
    <w:rsid w:val="00A2592E"/>
    <w:rsid w:val="00A25B1F"/>
    <w:rsid w:val="00A25EA0"/>
    <w:rsid w:val="00A25F3E"/>
    <w:rsid w:val="00A266AA"/>
    <w:rsid w:val="00A2688B"/>
    <w:rsid w:val="00A26B70"/>
    <w:rsid w:val="00A26EDA"/>
    <w:rsid w:val="00A26F72"/>
    <w:rsid w:val="00A271F7"/>
    <w:rsid w:val="00A272B7"/>
    <w:rsid w:val="00A27587"/>
    <w:rsid w:val="00A27727"/>
    <w:rsid w:val="00A27976"/>
    <w:rsid w:val="00A27DB0"/>
    <w:rsid w:val="00A27E7B"/>
    <w:rsid w:val="00A27EFC"/>
    <w:rsid w:val="00A30844"/>
    <w:rsid w:val="00A30892"/>
    <w:rsid w:val="00A30E04"/>
    <w:rsid w:val="00A31144"/>
    <w:rsid w:val="00A31859"/>
    <w:rsid w:val="00A31D42"/>
    <w:rsid w:val="00A321B1"/>
    <w:rsid w:val="00A326A8"/>
    <w:rsid w:val="00A32838"/>
    <w:rsid w:val="00A329A1"/>
    <w:rsid w:val="00A32A72"/>
    <w:rsid w:val="00A32DD4"/>
    <w:rsid w:val="00A33729"/>
    <w:rsid w:val="00A339DE"/>
    <w:rsid w:val="00A33A94"/>
    <w:rsid w:val="00A344D6"/>
    <w:rsid w:val="00A34688"/>
    <w:rsid w:val="00A34CAE"/>
    <w:rsid w:val="00A34E89"/>
    <w:rsid w:val="00A35D2B"/>
    <w:rsid w:val="00A35FFE"/>
    <w:rsid w:val="00A364B7"/>
    <w:rsid w:val="00A36905"/>
    <w:rsid w:val="00A3734C"/>
    <w:rsid w:val="00A37A19"/>
    <w:rsid w:val="00A37A4F"/>
    <w:rsid w:val="00A40097"/>
    <w:rsid w:val="00A40A0F"/>
    <w:rsid w:val="00A414E2"/>
    <w:rsid w:val="00A41630"/>
    <w:rsid w:val="00A41A4E"/>
    <w:rsid w:val="00A4216A"/>
    <w:rsid w:val="00A4247C"/>
    <w:rsid w:val="00A42513"/>
    <w:rsid w:val="00A425A0"/>
    <w:rsid w:val="00A426EA"/>
    <w:rsid w:val="00A42B34"/>
    <w:rsid w:val="00A42B4F"/>
    <w:rsid w:val="00A435F9"/>
    <w:rsid w:val="00A43951"/>
    <w:rsid w:val="00A44227"/>
    <w:rsid w:val="00A44BFA"/>
    <w:rsid w:val="00A452A3"/>
    <w:rsid w:val="00A45433"/>
    <w:rsid w:val="00A4552D"/>
    <w:rsid w:val="00A458E0"/>
    <w:rsid w:val="00A45BA6"/>
    <w:rsid w:val="00A460C9"/>
    <w:rsid w:val="00A46D43"/>
    <w:rsid w:val="00A46E29"/>
    <w:rsid w:val="00A4780E"/>
    <w:rsid w:val="00A479D6"/>
    <w:rsid w:val="00A47A27"/>
    <w:rsid w:val="00A47D77"/>
    <w:rsid w:val="00A51A69"/>
    <w:rsid w:val="00A51AB1"/>
    <w:rsid w:val="00A52002"/>
    <w:rsid w:val="00A5271A"/>
    <w:rsid w:val="00A52887"/>
    <w:rsid w:val="00A529ED"/>
    <w:rsid w:val="00A5301D"/>
    <w:rsid w:val="00A53131"/>
    <w:rsid w:val="00A5338C"/>
    <w:rsid w:val="00A537C0"/>
    <w:rsid w:val="00A54102"/>
    <w:rsid w:val="00A54233"/>
    <w:rsid w:val="00A5496E"/>
    <w:rsid w:val="00A549A8"/>
    <w:rsid w:val="00A54D68"/>
    <w:rsid w:val="00A54D8C"/>
    <w:rsid w:val="00A55215"/>
    <w:rsid w:val="00A553C5"/>
    <w:rsid w:val="00A5548C"/>
    <w:rsid w:val="00A570C1"/>
    <w:rsid w:val="00A5779C"/>
    <w:rsid w:val="00A61083"/>
    <w:rsid w:val="00A61740"/>
    <w:rsid w:val="00A61927"/>
    <w:rsid w:val="00A61D43"/>
    <w:rsid w:val="00A62597"/>
    <w:rsid w:val="00A626AA"/>
    <w:rsid w:val="00A62DD6"/>
    <w:rsid w:val="00A63483"/>
    <w:rsid w:val="00A64056"/>
    <w:rsid w:val="00A650BA"/>
    <w:rsid w:val="00A65174"/>
    <w:rsid w:val="00A65503"/>
    <w:rsid w:val="00A656D1"/>
    <w:rsid w:val="00A659C9"/>
    <w:rsid w:val="00A66B64"/>
    <w:rsid w:val="00A676B0"/>
    <w:rsid w:val="00A67E97"/>
    <w:rsid w:val="00A705BA"/>
    <w:rsid w:val="00A7070E"/>
    <w:rsid w:val="00A7093E"/>
    <w:rsid w:val="00A70E57"/>
    <w:rsid w:val="00A713AB"/>
    <w:rsid w:val="00A71465"/>
    <w:rsid w:val="00A72457"/>
    <w:rsid w:val="00A7392A"/>
    <w:rsid w:val="00A73CAE"/>
    <w:rsid w:val="00A74725"/>
    <w:rsid w:val="00A749F7"/>
    <w:rsid w:val="00A74FC0"/>
    <w:rsid w:val="00A75019"/>
    <w:rsid w:val="00A752D3"/>
    <w:rsid w:val="00A75E8C"/>
    <w:rsid w:val="00A75E9F"/>
    <w:rsid w:val="00A766EC"/>
    <w:rsid w:val="00A77654"/>
    <w:rsid w:val="00A776A6"/>
    <w:rsid w:val="00A77985"/>
    <w:rsid w:val="00A77BF0"/>
    <w:rsid w:val="00A77C75"/>
    <w:rsid w:val="00A8069D"/>
    <w:rsid w:val="00A80A3A"/>
    <w:rsid w:val="00A811DF"/>
    <w:rsid w:val="00A8126C"/>
    <w:rsid w:val="00A812E4"/>
    <w:rsid w:val="00A81F13"/>
    <w:rsid w:val="00A8229D"/>
    <w:rsid w:val="00A82304"/>
    <w:rsid w:val="00A82500"/>
    <w:rsid w:val="00A82513"/>
    <w:rsid w:val="00A82CC9"/>
    <w:rsid w:val="00A82F67"/>
    <w:rsid w:val="00A8306D"/>
    <w:rsid w:val="00A830F2"/>
    <w:rsid w:val="00A831C5"/>
    <w:rsid w:val="00A836A5"/>
    <w:rsid w:val="00A836AB"/>
    <w:rsid w:val="00A83754"/>
    <w:rsid w:val="00A83897"/>
    <w:rsid w:val="00A83926"/>
    <w:rsid w:val="00A83EDE"/>
    <w:rsid w:val="00A84DAB"/>
    <w:rsid w:val="00A8562E"/>
    <w:rsid w:val="00A8576F"/>
    <w:rsid w:val="00A85B91"/>
    <w:rsid w:val="00A85C12"/>
    <w:rsid w:val="00A85C19"/>
    <w:rsid w:val="00A85D61"/>
    <w:rsid w:val="00A86081"/>
    <w:rsid w:val="00A864D1"/>
    <w:rsid w:val="00A867E1"/>
    <w:rsid w:val="00A86EE4"/>
    <w:rsid w:val="00A871E8"/>
    <w:rsid w:val="00A87339"/>
    <w:rsid w:val="00A90433"/>
    <w:rsid w:val="00A906F0"/>
    <w:rsid w:val="00A90CD8"/>
    <w:rsid w:val="00A91067"/>
    <w:rsid w:val="00A9122B"/>
    <w:rsid w:val="00A913B3"/>
    <w:rsid w:val="00A916F1"/>
    <w:rsid w:val="00A91804"/>
    <w:rsid w:val="00A91F80"/>
    <w:rsid w:val="00A92458"/>
    <w:rsid w:val="00A92602"/>
    <w:rsid w:val="00A926F0"/>
    <w:rsid w:val="00A92A56"/>
    <w:rsid w:val="00A93B02"/>
    <w:rsid w:val="00A940DA"/>
    <w:rsid w:val="00A94286"/>
    <w:rsid w:val="00A946F5"/>
    <w:rsid w:val="00A94D04"/>
    <w:rsid w:val="00A95363"/>
    <w:rsid w:val="00A956F9"/>
    <w:rsid w:val="00A95762"/>
    <w:rsid w:val="00A96293"/>
    <w:rsid w:val="00A968D3"/>
    <w:rsid w:val="00A96A07"/>
    <w:rsid w:val="00A96AC4"/>
    <w:rsid w:val="00A96D4B"/>
    <w:rsid w:val="00A96EE3"/>
    <w:rsid w:val="00A971C0"/>
    <w:rsid w:val="00A975CB"/>
    <w:rsid w:val="00A97907"/>
    <w:rsid w:val="00A97BAA"/>
    <w:rsid w:val="00A97C1F"/>
    <w:rsid w:val="00AA02CE"/>
    <w:rsid w:val="00AA0690"/>
    <w:rsid w:val="00AA080E"/>
    <w:rsid w:val="00AA185C"/>
    <w:rsid w:val="00AA21E4"/>
    <w:rsid w:val="00AA267C"/>
    <w:rsid w:val="00AA2F91"/>
    <w:rsid w:val="00AA3015"/>
    <w:rsid w:val="00AA32EB"/>
    <w:rsid w:val="00AA38D6"/>
    <w:rsid w:val="00AA416B"/>
    <w:rsid w:val="00AA455C"/>
    <w:rsid w:val="00AA4A25"/>
    <w:rsid w:val="00AA4FAB"/>
    <w:rsid w:val="00AA5559"/>
    <w:rsid w:val="00AA5EB4"/>
    <w:rsid w:val="00AA6175"/>
    <w:rsid w:val="00AA628A"/>
    <w:rsid w:val="00AA6A57"/>
    <w:rsid w:val="00AA6BEC"/>
    <w:rsid w:val="00AA7360"/>
    <w:rsid w:val="00AA737E"/>
    <w:rsid w:val="00AA7C9A"/>
    <w:rsid w:val="00AA7E0B"/>
    <w:rsid w:val="00AB00EF"/>
    <w:rsid w:val="00AB093B"/>
    <w:rsid w:val="00AB12CA"/>
    <w:rsid w:val="00AB1BBF"/>
    <w:rsid w:val="00AB27FC"/>
    <w:rsid w:val="00AB3675"/>
    <w:rsid w:val="00AB3911"/>
    <w:rsid w:val="00AB3B94"/>
    <w:rsid w:val="00AB3BE7"/>
    <w:rsid w:val="00AB406B"/>
    <w:rsid w:val="00AB4698"/>
    <w:rsid w:val="00AB4A8E"/>
    <w:rsid w:val="00AB4BF5"/>
    <w:rsid w:val="00AB4F64"/>
    <w:rsid w:val="00AB59F7"/>
    <w:rsid w:val="00AB5F90"/>
    <w:rsid w:val="00AB6210"/>
    <w:rsid w:val="00AB695C"/>
    <w:rsid w:val="00AB6B9A"/>
    <w:rsid w:val="00AB78D3"/>
    <w:rsid w:val="00AB79E5"/>
    <w:rsid w:val="00AC0086"/>
    <w:rsid w:val="00AC02D8"/>
    <w:rsid w:val="00AC08B4"/>
    <w:rsid w:val="00AC0DB1"/>
    <w:rsid w:val="00AC1B48"/>
    <w:rsid w:val="00AC1C32"/>
    <w:rsid w:val="00AC2481"/>
    <w:rsid w:val="00AC24A9"/>
    <w:rsid w:val="00AC2511"/>
    <w:rsid w:val="00AC2B17"/>
    <w:rsid w:val="00AC2D95"/>
    <w:rsid w:val="00AC359C"/>
    <w:rsid w:val="00AC36C5"/>
    <w:rsid w:val="00AC3DD0"/>
    <w:rsid w:val="00AC4451"/>
    <w:rsid w:val="00AC451E"/>
    <w:rsid w:val="00AC48CA"/>
    <w:rsid w:val="00AC5081"/>
    <w:rsid w:val="00AC577B"/>
    <w:rsid w:val="00AC6926"/>
    <w:rsid w:val="00AC6996"/>
    <w:rsid w:val="00AC7056"/>
    <w:rsid w:val="00AC760A"/>
    <w:rsid w:val="00AC7EDF"/>
    <w:rsid w:val="00AD010A"/>
    <w:rsid w:val="00AD0169"/>
    <w:rsid w:val="00AD03CB"/>
    <w:rsid w:val="00AD064E"/>
    <w:rsid w:val="00AD079E"/>
    <w:rsid w:val="00AD12AF"/>
    <w:rsid w:val="00AD14B6"/>
    <w:rsid w:val="00AD150C"/>
    <w:rsid w:val="00AD1972"/>
    <w:rsid w:val="00AD1AF1"/>
    <w:rsid w:val="00AD1D78"/>
    <w:rsid w:val="00AD2049"/>
    <w:rsid w:val="00AD323B"/>
    <w:rsid w:val="00AD3506"/>
    <w:rsid w:val="00AD3AA1"/>
    <w:rsid w:val="00AD3ADC"/>
    <w:rsid w:val="00AD3E6D"/>
    <w:rsid w:val="00AD40D0"/>
    <w:rsid w:val="00AD45CE"/>
    <w:rsid w:val="00AD480F"/>
    <w:rsid w:val="00AD4C89"/>
    <w:rsid w:val="00AD522E"/>
    <w:rsid w:val="00AD5D0A"/>
    <w:rsid w:val="00AD5DAD"/>
    <w:rsid w:val="00AD5F8A"/>
    <w:rsid w:val="00AD66FE"/>
    <w:rsid w:val="00AD68F5"/>
    <w:rsid w:val="00AD6A95"/>
    <w:rsid w:val="00AD6BEA"/>
    <w:rsid w:val="00AD6C10"/>
    <w:rsid w:val="00AD7A42"/>
    <w:rsid w:val="00AD7DE4"/>
    <w:rsid w:val="00AD7F05"/>
    <w:rsid w:val="00AE017B"/>
    <w:rsid w:val="00AE0207"/>
    <w:rsid w:val="00AE0B1D"/>
    <w:rsid w:val="00AE14D3"/>
    <w:rsid w:val="00AE1BA6"/>
    <w:rsid w:val="00AE1E9D"/>
    <w:rsid w:val="00AE1EF0"/>
    <w:rsid w:val="00AE24BD"/>
    <w:rsid w:val="00AE29B7"/>
    <w:rsid w:val="00AE2DBD"/>
    <w:rsid w:val="00AE2E5E"/>
    <w:rsid w:val="00AE361C"/>
    <w:rsid w:val="00AE380A"/>
    <w:rsid w:val="00AE4187"/>
    <w:rsid w:val="00AE42AF"/>
    <w:rsid w:val="00AE551B"/>
    <w:rsid w:val="00AE5F59"/>
    <w:rsid w:val="00AE66BC"/>
    <w:rsid w:val="00AE6830"/>
    <w:rsid w:val="00AE6C4B"/>
    <w:rsid w:val="00AE6CDE"/>
    <w:rsid w:val="00AE7421"/>
    <w:rsid w:val="00AE749A"/>
    <w:rsid w:val="00AE755E"/>
    <w:rsid w:val="00AE75DA"/>
    <w:rsid w:val="00AE7DA7"/>
    <w:rsid w:val="00AF0089"/>
    <w:rsid w:val="00AF0325"/>
    <w:rsid w:val="00AF037E"/>
    <w:rsid w:val="00AF0614"/>
    <w:rsid w:val="00AF0713"/>
    <w:rsid w:val="00AF09D2"/>
    <w:rsid w:val="00AF1C7E"/>
    <w:rsid w:val="00AF1F63"/>
    <w:rsid w:val="00AF2245"/>
    <w:rsid w:val="00AF2DC5"/>
    <w:rsid w:val="00AF3628"/>
    <w:rsid w:val="00AF3C05"/>
    <w:rsid w:val="00AF47B7"/>
    <w:rsid w:val="00AF4A5C"/>
    <w:rsid w:val="00AF4ECC"/>
    <w:rsid w:val="00AF55F6"/>
    <w:rsid w:val="00AF6751"/>
    <w:rsid w:val="00AF6B70"/>
    <w:rsid w:val="00AF751D"/>
    <w:rsid w:val="00AF75F4"/>
    <w:rsid w:val="00AF79DE"/>
    <w:rsid w:val="00AF7D51"/>
    <w:rsid w:val="00AF7DEA"/>
    <w:rsid w:val="00AF7F6A"/>
    <w:rsid w:val="00B001E7"/>
    <w:rsid w:val="00B004B9"/>
    <w:rsid w:val="00B00838"/>
    <w:rsid w:val="00B00C3E"/>
    <w:rsid w:val="00B01F0A"/>
    <w:rsid w:val="00B0224F"/>
    <w:rsid w:val="00B0226A"/>
    <w:rsid w:val="00B02275"/>
    <w:rsid w:val="00B024D7"/>
    <w:rsid w:val="00B02606"/>
    <w:rsid w:val="00B02A5C"/>
    <w:rsid w:val="00B03222"/>
    <w:rsid w:val="00B0333C"/>
    <w:rsid w:val="00B0394A"/>
    <w:rsid w:val="00B0441F"/>
    <w:rsid w:val="00B0492E"/>
    <w:rsid w:val="00B04E49"/>
    <w:rsid w:val="00B04E6B"/>
    <w:rsid w:val="00B05482"/>
    <w:rsid w:val="00B055A6"/>
    <w:rsid w:val="00B05886"/>
    <w:rsid w:val="00B05B84"/>
    <w:rsid w:val="00B066C4"/>
    <w:rsid w:val="00B06794"/>
    <w:rsid w:val="00B067B3"/>
    <w:rsid w:val="00B067D1"/>
    <w:rsid w:val="00B068C4"/>
    <w:rsid w:val="00B06A4B"/>
    <w:rsid w:val="00B07031"/>
    <w:rsid w:val="00B07332"/>
    <w:rsid w:val="00B073AA"/>
    <w:rsid w:val="00B07741"/>
    <w:rsid w:val="00B07E0E"/>
    <w:rsid w:val="00B11458"/>
    <w:rsid w:val="00B11927"/>
    <w:rsid w:val="00B11F58"/>
    <w:rsid w:val="00B1254E"/>
    <w:rsid w:val="00B12854"/>
    <w:rsid w:val="00B13388"/>
    <w:rsid w:val="00B136E2"/>
    <w:rsid w:val="00B13AA9"/>
    <w:rsid w:val="00B13C43"/>
    <w:rsid w:val="00B13DB4"/>
    <w:rsid w:val="00B14273"/>
    <w:rsid w:val="00B14BA0"/>
    <w:rsid w:val="00B14BFA"/>
    <w:rsid w:val="00B15173"/>
    <w:rsid w:val="00B15227"/>
    <w:rsid w:val="00B1599C"/>
    <w:rsid w:val="00B1703E"/>
    <w:rsid w:val="00B170DA"/>
    <w:rsid w:val="00B17193"/>
    <w:rsid w:val="00B17DD9"/>
    <w:rsid w:val="00B20303"/>
    <w:rsid w:val="00B2038A"/>
    <w:rsid w:val="00B20771"/>
    <w:rsid w:val="00B20955"/>
    <w:rsid w:val="00B20CAE"/>
    <w:rsid w:val="00B20FA3"/>
    <w:rsid w:val="00B212F5"/>
    <w:rsid w:val="00B21E44"/>
    <w:rsid w:val="00B21EFA"/>
    <w:rsid w:val="00B221AE"/>
    <w:rsid w:val="00B22338"/>
    <w:rsid w:val="00B22765"/>
    <w:rsid w:val="00B22BDE"/>
    <w:rsid w:val="00B22F00"/>
    <w:rsid w:val="00B22FBE"/>
    <w:rsid w:val="00B23444"/>
    <w:rsid w:val="00B237BC"/>
    <w:rsid w:val="00B2389B"/>
    <w:rsid w:val="00B23B5F"/>
    <w:rsid w:val="00B23FE2"/>
    <w:rsid w:val="00B247AF"/>
    <w:rsid w:val="00B24A7F"/>
    <w:rsid w:val="00B259E4"/>
    <w:rsid w:val="00B26314"/>
    <w:rsid w:val="00B2673D"/>
    <w:rsid w:val="00B2687F"/>
    <w:rsid w:val="00B268CF"/>
    <w:rsid w:val="00B269E2"/>
    <w:rsid w:val="00B26D37"/>
    <w:rsid w:val="00B26E7B"/>
    <w:rsid w:val="00B27534"/>
    <w:rsid w:val="00B278D4"/>
    <w:rsid w:val="00B27CD2"/>
    <w:rsid w:val="00B27F68"/>
    <w:rsid w:val="00B301C6"/>
    <w:rsid w:val="00B30585"/>
    <w:rsid w:val="00B30C5A"/>
    <w:rsid w:val="00B30D60"/>
    <w:rsid w:val="00B31268"/>
    <w:rsid w:val="00B31571"/>
    <w:rsid w:val="00B3188C"/>
    <w:rsid w:val="00B32959"/>
    <w:rsid w:val="00B32E3B"/>
    <w:rsid w:val="00B33562"/>
    <w:rsid w:val="00B335ED"/>
    <w:rsid w:val="00B33724"/>
    <w:rsid w:val="00B340FF"/>
    <w:rsid w:val="00B34591"/>
    <w:rsid w:val="00B34600"/>
    <w:rsid w:val="00B34BCC"/>
    <w:rsid w:val="00B34CBE"/>
    <w:rsid w:val="00B350B9"/>
    <w:rsid w:val="00B363DC"/>
    <w:rsid w:val="00B363F7"/>
    <w:rsid w:val="00B36649"/>
    <w:rsid w:val="00B367DC"/>
    <w:rsid w:val="00B36DC4"/>
    <w:rsid w:val="00B36E5D"/>
    <w:rsid w:val="00B36FF2"/>
    <w:rsid w:val="00B370D7"/>
    <w:rsid w:val="00B37740"/>
    <w:rsid w:val="00B37C17"/>
    <w:rsid w:val="00B37DB6"/>
    <w:rsid w:val="00B37F2D"/>
    <w:rsid w:val="00B40607"/>
    <w:rsid w:val="00B40632"/>
    <w:rsid w:val="00B41112"/>
    <w:rsid w:val="00B41A32"/>
    <w:rsid w:val="00B41B33"/>
    <w:rsid w:val="00B42048"/>
    <w:rsid w:val="00B426FA"/>
    <w:rsid w:val="00B43251"/>
    <w:rsid w:val="00B43561"/>
    <w:rsid w:val="00B437C4"/>
    <w:rsid w:val="00B44333"/>
    <w:rsid w:val="00B44455"/>
    <w:rsid w:val="00B4470E"/>
    <w:rsid w:val="00B447A3"/>
    <w:rsid w:val="00B45026"/>
    <w:rsid w:val="00B451B3"/>
    <w:rsid w:val="00B455AC"/>
    <w:rsid w:val="00B45ED0"/>
    <w:rsid w:val="00B462BC"/>
    <w:rsid w:val="00B46562"/>
    <w:rsid w:val="00B468E8"/>
    <w:rsid w:val="00B46968"/>
    <w:rsid w:val="00B46C52"/>
    <w:rsid w:val="00B4791B"/>
    <w:rsid w:val="00B47954"/>
    <w:rsid w:val="00B47AE7"/>
    <w:rsid w:val="00B47C87"/>
    <w:rsid w:val="00B50211"/>
    <w:rsid w:val="00B50384"/>
    <w:rsid w:val="00B50487"/>
    <w:rsid w:val="00B506A1"/>
    <w:rsid w:val="00B5070D"/>
    <w:rsid w:val="00B50B9C"/>
    <w:rsid w:val="00B51765"/>
    <w:rsid w:val="00B519E5"/>
    <w:rsid w:val="00B52B4A"/>
    <w:rsid w:val="00B52FDE"/>
    <w:rsid w:val="00B53592"/>
    <w:rsid w:val="00B53878"/>
    <w:rsid w:val="00B53A5F"/>
    <w:rsid w:val="00B53D24"/>
    <w:rsid w:val="00B557C3"/>
    <w:rsid w:val="00B55B5D"/>
    <w:rsid w:val="00B5628A"/>
    <w:rsid w:val="00B5669F"/>
    <w:rsid w:val="00B56E8D"/>
    <w:rsid w:val="00B575E8"/>
    <w:rsid w:val="00B57AB6"/>
    <w:rsid w:val="00B57FAD"/>
    <w:rsid w:val="00B60226"/>
    <w:rsid w:val="00B6136D"/>
    <w:rsid w:val="00B615D5"/>
    <w:rsid w:val="00B61D00"/>
    <w:rsid w:val="00B62218"/>
    <w:rsid w:val="00B62D74"/>
    <w:rsid w:val="00B631C9"/>
    <w:rsid w:val="00B6329D"/>
    <w:rsid w:val="00B6422A"/>
    <w:rsid w:val="00B648C4"/>
    <w:rsid w:val="00B655F0"/>
    <w:rsid w:val="00B657DD"/>
    <w:rsid w:val="00B65CE1"/>
    <w:rsid w:val="00B6605B"/>
    <w:rsid w:val="00B665AF"/>
    <w:rsid w:val="00B66BC5"/>
    <w:rsid w:val="00B66FC7"/>
    <w:rsid w:val="00B66FEC"/>
    <w:rsid w:val="00B67713"/>
    <w:rsid w:val="00B67BF4"/>
    <w:rsid w:val="00B70C8D"/>
    <w:rsid w:val="00B7145E"/>
    <w:rsid w:val="00B714A3"/>
    <w:rsid w:val="00B71573"/>
    <w:rsid w:val="00B71B35"/>
    <w:rsid w:val="00B7213A"/>
    <w:rsid w:val="00B724E6"/>
    <w:rsid w:val="00B727DA"/>
    <w:rsid w:val="00B72BE2"/>
    <w:rsid w:val="00B72DB3"/>
    <w:rsid w:val="00B72E56"/>
    <w:rsid w:val="00B72F18"/>
    <w:rsid w:val="00B7313F"/>
    <w:rsid w:val="00B73328"/>
    <w:rsid w:val="00B73768"/>
    <w:rsid w:val="00B73776"/>
    <w:rsid w:val="00B73B29"/>
    <w:rsid w:val="00B74392"/>
    <w:rsid w:val="00B743D0"/>
    <w:rsid w:val="00B747DC"/>
    <w:rsid w:val="00B74B0B"/>
    <w:rsid w:val="00B74E6B"/>
    <w:rsid w:val="00B75172"/>
    <w:rsid w:val="00B751FD"/>
    <w:rsid w:val="00B75932"/>
    <w:rsid w:val="00B75BD2"/>
    <w:rsid w:val="00B75E28"/>
    <w:rsid w:val="00B7630E"/>
    <w:rsid w:val="00B76400"/>
    <w:rsid w:val="00B76471"/>
    <w:rsid w:val="00B76BC5"/>
    <w:rsid w:val="00B76EF3"/>
    <w:rsid w:val="00B77033"/>
    <w:rsid w:val="00B77AF0"/>
    <w:rsid w:val="00B77AF9"/>
    <w:rsid w:val="00B807BD"/>
    <w:rsid w:val="00B815A1"/>
    <w:rsid w:val="00B81DC1"/>
    <w:rsid w:val="00B82FDE"/>
    <w:rsid w:val="00B83296"/>
    <w:rsid w:val="00B833BE"/>
    <w:rsid w:val="00B83DBA"/>
    <w:rsid w:val="00B84049"/>
    <w:rsid w:val="00B8418D"/>
    <w:rsid w:val="00B84555"/>
    <w:rsid w:val="00B84AE7"/>
    <w:rsid w:val="00B84B1D"/>
    <w:rsid w:val="00B84CA9"/>
    <w:rsid w:val="00B852F9"/>
    <w:rsid w:val="00B86147"/>
    <w:rsid w:val="00B8694B"/>
    <w:rsid w:val="00B86A95"/>
    <w:rsid w:val="00B87567"/>
    <w:rsid w:val="00B87D52"/>
    <w:rsid w:val="00B903E0"/>
    <w:rsid w:val="00B90636"/>
    <w:rsid w:val="00B9079E"/>
    <w:rsid w:val="00B91944"/>
    <w:rsid w:val="00B919AB"/>
    <w:rsid w:val="00B92160"/>
    <w:rsid w:val="00B923DC"/>
    <w:rsid w:val="00B92725"/>
    <w:rsid w:val="00B9278F"/>
    <w:rsid w:val="00B94365"/>
    <w:rsid w:val="00B9460B"/>
    <w:rsid w:val="00B94DFE"/>
    <w:rsid w:val="00B94EB9"/>
    <w:rsid w:val="00B94FC4"/>
    <w:rsid w:val="00B9512C"/>
    <w:rsid w:val="00B95577"/>
    <w:rsid w:val="00B95976"/>
    <w:rsid w:val="00B95A91"/>
    <w:rsid w:val="00B95EA2"/>
    <w:rsid w:val="00B97185"/>
    <w:rsid w:val="00B97595"/>
    <w:rsid w:val="00B978AE"/>
    <w:rsid w:val="00B97D4A"/>
    <w:rsid w:val="00BA009B"/>
    <w:rsid w:val="00BA056D"/>
    <w:rsid w:val="00BA0CCE"/>
    <w:rsid w:val="00BA124D"/>
    <w:rsid w:val="00BA1383"/>
    <w:rsid w:val="00BA1C74"/>
    <w:rsid w:val="00BA214B"/>
    <w:rsid w:val="00BA2968"/>
    <w:rsid w:val="00BA2C2E"/>
    <w:rsid w:val="00BA2D2B"/>
    <w:rsid w:val="00BA2F5B"/>
    <w:rsid w:val="00BA3572"/>
    <w:rsid w:val="00BA3595"/>
    <w:rsid w:val="00BA389D"/>
    <w:rsid w:val="00BA3DE5"/>
    <w:rsid w:val="00BA411E"/>
    <w:rsid w:val="00BA444B"/>
    <w:rsid w:val="00BA44C8"/>
    <w:rsid w:val="00BA44D1"/>
    <w:rsid w:val="00BA46A5"/>
    <w:rsid w:val="00BA4B68"/>
    <w:rsid w:val="00BA595D"/>
    <w:rsid w:val="00BA5B32"/>
    <w:rsid w:val="00BA669C"/>
    <w:rsid w:val="00BA6880"/>
    <w:rsid w:val="00BA6FBF"/>
    <w:rsid w:val="00BA7319"/>
    <w:rsid w:val="00BA75A4"/>
    <w:rsid w:val="00BB0129"/>
    <w:rsid w:val="00BB05D0"/>
    <w:rsid w:val="00BB05E6"/>
    <w:rsid w:val="00BB065F"/>
    <w:rsid w:val="00BB0A35"/>
    <w:rsid w:val="00BB14A1"/>
    <w:rsid w:val="00BB162F"/>
    <w:rsid w:val="00BB175F"/>
    <w:rsid w:val="00BB212A"/>
    <w:rsid w:val="00BB2341"/>
    <w:rsid w:val="00BB2BE4"/>
    <w:rsid w:val="00BB330E"/>
    <w:rsid w:val="00BB35CF"/>
    <w:rsid w:val="00BB3649"/>
    <w:rsid w:val="00BB3FAB"/>
    <w:rsid w:val="00BB4109"/>
    <w:rsid w:val="00BB4422"/>
    <w:rsid w:val="00BB467A"/>
    <w:rsid w:val="00BB4C11"/>
    <w:rsid w:val="00BB50B3"/>
    <w:rsid w:val="00BB5293"/>
    <w:rsid w:val="00BB55CF"/>
    <w:rsid w:val="00BB5893"/>
    <w:rsid w:val="00BB58A1"/>
    <w:rsid w:val="00BB6187"/>
    <w:rsid w:val="00BB66EA"/>
    <w:rsid w:val="00BB730E"/>
    <w:rsid w:val="00BB7735"/>
    <w:rsid w:val="00BB78BB"/>
    <w:rsid w:val="00BB7D94"/>
    <w:rsid w:val="00BC0003"/>
    <w:rsid w:val="00BC0663"/>
    <w:rsid w:val="00BC0E6A"/>
    <w:rsid w:val="00BC1583"/>
    <w:rsid w:val="00BC1CE2"/>
    <w:rsid w:val="00BC1D91"/>
    <w:rsid w:val="00BC1F32"/>
    <w:rsid w:val="00BC20FA"/>
    <w:rsid w:val="00BC2313"/>
    <w:rsid w:val="00BC39EF"/>
    <w:rsid w:val="00BC3BF5"/>
    <w:rsid w:val="00BC443A"/>
    <w:rsid w:val="00BC4D84"/>
    <w:rsid w:val="00BC4DAC"/>
    <w:rsid w:val="00BC4F57"/>
    <w:rsid w:val="00BC5007"/>
    <w:rsid w:val="00BC514E"/>
    <w:rsid w:val="00BC587C"/>
    <w:rsid w:val="00BC5CC3"/>
    <w:rsid w:val="00BC676A"/>
    <w:rsid w:val="00BC676D"/>
    <w:rsid w:val="00BC685B"/>
    <w:rsid w:val="00BC72E5"/>
    <w:rsid w:val="00BC740E"/>
    <w:rsid w:val="00BC7725"/>
    <w:rsid w:val="00BC7DA0"/>
    <w:rsid w:val="00BD0188"/>
    <w:rsid w:val="00BD0312"/>
    <w:rsid w:val="00BD04C4"/>
    <w:rsid w:val="00BD0831"/>
    <w:rsid w:val="00BD1159"/>
    <w:rsid w:val="00BD1697"/>
    <w:rsid w:val="00BD173C"/>
    <w:rsid w:val="00BD1930"/>
    <w:rsid w:val="00BD2065"/>
    <w:rsid w:val="00BD21E9"/>
    <w:rsid w:val="00BD2205"/>
    <w:rsid w:val="00BD2526"/>
    <w:rsid w:val="00BD2A5F"/>
    <w:rsid w:val="00BD2AEC"/>
    <w:rsid w:val="00BD33F8"/>
    <w:rsid w:val="00BD3446"/>
    <w:rsid w:val="00BD347D"/>
    <w:rsid w:val="00BD397D"/>
    <w:rsid w:val="00BD3986"/>
    <w:rsid w:val="00BD4A3E"/>
    <w:rsid w:val="00BD5BDD"/>
    <w:rsid w:val="00BD6579"/>
    <w:rsid w:val="00BD65FA"/>
    <w:rsid w:val="00BD675F"/>
    <w:rsid w:val="00BD6945"/>
    <w:rsid w:val="00BD71B3"/>
    <w:rsid w:val="00BD7B91"/>
    <w:rsid w:val="00BD7C3E"/>
    <w:rsid w:val="00BE0338"/>
    <w:rsid w:val="00BE15C0"/>
    <w:rsid w:val="00BE1847"/>
    <w:rsid w:val="00BE1A2B"/>
    <w:rsid w:val="00BE297A"/>
    <w:rsid w:val="00BE3999"/>
    <w:rsid w:val="00BE3AFC"/>
    <w:rsid w:val="00BE3BE3"/>
    <w:rsid w:val="00BE4034"/>
    <w:rsid w:val="00BE47D0"/>
    <w:rsid w:val="00BE4A5D"/>
    <w:rsid w:val="00BE4BD0"/>
    <w:rsid w:val="00BE50F9"/>
    <w:rsid w:val="00BE5339"/>
    <w:rsid w:val="00BE55E3"/>
    <w:rsid w:val="00BE5A0B"/>
    <w:rsid w:val="00BE62A7"/>
    <w:rsid w:val="00BE6395"/>
    <w:rsid w:val="00BE656E"/>
    <w:rsid w:val="00BE667F"/>
    <w:rsid w:val="00BE66E2"/>
    <w:rsid w:val="00BE6827"/>
    <w:rsid w:val="00BE6B55"/>
    <w:rsid w:val="00BE7089"/>
    <w:rsid w:val="00BE7118"/>
    <w:rsid w:val="00BE769A"/>
    <w:rsid w:val="00BE7B02"/>
    <w:rsid w:val="00BF0567"/>
    <w:rsid w:val="00BF0869"/>
    <w:rsid w:val="00BF0881"/>
    <w:rsid w:val="00BF0E3D"/>
    <w:rsid w:val="00BF111F"/>
    <w:rsid w:val="00BF34E8"/>
    <w:rsid w:val="00BF3685"/>
    <w:rsid w:val="00BF46C0"/>
    <w:rsid w:val="00BF5F2F"/>
    <w:rsid w:val="00BF5FF4"/>
    <w:rsid w:val="00BF6023"/>
    <w:rsid w:val="00BF636E"/>
    <w:rsid w:val="00BF6AF1"/>
    <w:rsid w:val="00BF6C84"/>
    <w:rsid w:val="00BF6CAF"/>
    <w:rsid w:val="00BF6DC0"/>
    <w:rsid w:val="00BF6E3B"/>
    <w:rsid w:val="00BF77BC"/>
    <w:rsid w:val="00BF7EBE"/>
    <w:rsid w:val="00C00A81"/>
    <w:rsid w:val="00C00CC0"/>
    <w:rsid w:val="00C00F21"/>
    <w:rsid w:val="00C0139A"/>
    <w:rsid w:val="00C01ED2"/>
    <w:rsid w:val="00C02231"/>
    <w:rsid w:val="00C024AE"/>
    <w:rsid w:val="00C02950"/>
    <w:rsid w:val="00C0295A"/>
    <w:rsid w:val="00C03003"/>
    <w:rsid w:val="00C03B2A"/>
    <w:rsid w:val="00C03CF7"/>
    <w:rsid w:val="00C03DB3"/>
    <w:rsid w:val="00C0420D"/>
    <w:rsid w:val="00C04EBD"/>
    <w:rsid w:val="00C06084"/>
    <w:rsid w:val="00C0655C"/>
    <w:rsid w:val="00C06A76"/>
    <w:rsid w:val="00C06ABF"/>
    <w:rsid w:val="00C06DE9"/>
    <w:rsid w:val="00C070F1"/>
    <w:rsid w:val="00C07540"/>
    <w:rsid w:val="00C100AE"/>
    <w:rsid w:val="00C101D6"/>
    <w:rsid w:val="00C1032B"/>
    <w:rsid w:val="00C106C3"/>
    <w:rsid w:val="00C11538"/>
    <w:rsid w:val="00C1257F"/>
    <w:rsid w:val="00C12C21"/>
    <w:rsid w:val="00C133C3"/>
    <w:rsid w:val="00C1348D"/>
    <w:rsid w:val="00C13DD5"/>
    <w:rsid w:val="00C14195"/>
    <w:rsid w:val="00C14AAF"/>
    <w:rsid w:val="00C14E39"/>
    <w:rsid w:val="00C15C53"/>
    <w:rsid w:val="00C168EF"/>
    <w:rsid w:val="00C16BED"/>
    <w:rsid w:val="00C1712B"/>
    <w:rsid w:val="00C173CC"/>
    <w:rsid w:val="00C17A20"/>
    <w:rsid w:val="00C17B67"/>
    <w:rsid w:val="00C200E9"/>
    <w:rsid w:val="00C2052F"/>
    <w:rsid w:val="00C2071D"/>
    <w:rsid w:val="00C20B81"/>
    <w:rsid w:val="00C20D46"/>
    <w:rsid w:val="00C21481"/>
    <w:rsid w:val="00C216F0"/>
    <w:rsid w:val="00C21C71"/>
    <w:rsid w:val="00C222FC"/>
    <w:rsid w:val="00C225DD"/>
    <w:rsid w:val="00C233E3"/>
    <w:rsid w:val="00C23855"/>
    <w:rsid w:val="00C24243"/>
    <w:rsid w:val="00C2453A"/>
    <w:rsid w:val="00C252E8"/>
    <w:rsid w:val="00C253D2"/>
    <w:rsid w:val="00C253E6"/>
    <w:rsid w:val="00C254F3"/>
    <w:rsid w:val="00C256A5"/>
    <w:rsid w:val="00C25855"/>
    <w:rsid w:val="00C25BA5"/>
    <w:rsid w:val="00C25EA8"/>
    <w:rsid w:val="00C263BF"/>
    <w:rsid w:val="00C266A5"/>
    <w:rsid w:val="00C27056"/>
    <w:rsid w:val="00C270A5"/>
    <w:rsid w:val="00C27410"/>
    <w:rsid w:val="00C2767D"/>
    <w:rsid w:val="00C27FC9"/>
    <w:rsid w:val="00C30257"/>
    <w:rsid w:val="00C30560"/>
    <w:rsid w:val="00C30769"/>
    <w:rsid w:val="00C314CB"/>
    <w:rsid w:val="00C3150D"/>
    <w:rsid w:val="00C3151D"/>
    <w:rsid w:val="00C316AD"/>
    <w:rsid w:val="00C31D66"/>
    <w:rsid w:val="00C31E51"/>
    <w:rsid w:val="00C31ED0"/>
    <w:rsid w:val="00C32A73"/>
    <w:rsid w:val="00C32B5D"/>
    <w:rsid w:val="00C336D4"/>
    <w:rsid w:val="00C33848"/>
    <w:rsid w:val="00C341CB"/>
    <w:rsid w:val="00C3449F"/>
    <w:rsid w:val="00C34D75"/>
    <w:rsid w:val="00C3540C"/>
    <w:rsid w:val="00C3544C"/>
    <w:rsid w:val="00C35CEF"/>
    <w:rsid w:val="00C35F24"/>
    <w:rsid w:val="00C367D4"/>
    <w:rsid w:val="00C36C50"/>
    <w:rsid w:val="00C36F14"/>
    <w:rsid w:val="00C370DC"/>
    <w:rsid w:val="00C378F8"/>
    <w:rsid w:val="00C37A45"/>
    <w:rsid w:val="00C4026E"/>
    <w:rsid w:val="00C4055D"/>
    <w:rsid w:val="00C40798"/>
    <w:rsid w:val="00C410F6"/>
    <w:rsid w:val="00C411AD"/>
    <w:rsid w:val="00C411E9"/>
    <w:rsid w:val="00C41A83"/>
    <w:rsid w:val="00C41F01"/>
    <w:rsid w:val="00C42181"/>
    <w:rsid w:val="00C42AA7"/>
    <w:rsid w:val="00C433BB"/>
    <w:rsid w:val="00C4378B"/>
    <w:rsid w:val="00C43A13"/>
    <w:rsid w:val="00C43AFC"/>
    <w:rsid w:val="00C43CB6"/>
    <w:rsid w:val="00C43F32"/>
    <w:rsid w:val="00C450EA"/>
    <w:rsid w:val="00C47A8F"/>
    <w:rsid w:val="00C47D70"/>
    <w:rsid w:val="00C50136"/>
    <w:rsid w:val="00C503CF"/>
    <w:rsid w:val="00C506F0"/>
    <w:rsid w:val="00C50BBD"/>
    <w:rsid w:val="00C50C9C"/>
    <w:rsid w:val="00C50DD8"/>
    <w:rsid w:val="00C50F07"/>
    <w:rsid w:val="00C515A3"/>
    <w:rsid w:val="00C516EF"/>
    <w:rsid w:val="00C51F4E"/>
    <w:rsid w:val="00C5243E"/>
    <w:rsid w:val="00C52CA9"/>
    <w:rsid w:val="00C53DBA"/>
    <w:rsid w:val="00C53EBF"/>
    <w:rsid w:val="00C5429A"/>
    <w:rsid w:val="00C543A1"/>
    <w:rsid w:val="00C5456F"/>
    <w:rsid w:val="00C546A6"/>
    <w:rsid w:val="00C54716"/>
    <w:rsid w:val="00C54C34"/>
    <w:rsid w:val="00C54EA3"/>
    <w:rsid w:val="00C5521F"/>
    <w:rsid w:val="00C55484"/>
    <w:rsid w:val="00C55C58"/>
    <w:rsid w:val="00C55DDE"/>
    <w:rsid w:val="00C560D5"/>
    <w:rsid w:val="00C56212"/>
    <w:rsid w:val="00C568AC"/>
    <w:rsid w:val="00C56C78"/>
    <w:rsid w:val="00C56CA0"/>
    <w:rsid w:val="00C570AC"/>
    <w:rsid w:val="00C57A89"/>
    <w:rsid w:val="00C60A9D"/>
    <w:rsid w:val="00C60D9A"/>
    <w:rsid w:val="00C60E26"/>
    <w:rsid w:val="00C60EC5"/>
    <w:rsid w:val="00C61577"/>
    <w:rsid w:val="00C6170C"/>
    <w:rsid w:val="00C619E0"/>
    <w:rsid w:val="00C61B72"/>
    <w:rsid w:val="00C62244"/>
    <w:rsid w:val="00C6254F"/>
    <w:rsid w:val="00C63855"/>
    <w:rsid w:val="00C638D2"/>
    <w:rsid w:val="00C63A5E"/>
    <w:rsid w:val="00C63F6F"/>
    <w:rsid w:val="00C64735"/>
    <w:rsid w:val="00C64813"/>
    <w:rsid w:val="00C64F0B"/>
    <w:rsid w:val="00C651A9"/>
    <w:rsid w:val="00C6567D"/>
    <w:rsid w:val="00C65A8F"/>
    <w:rsid w:val="00C65E72"/>
    <w:rsid w:val="00C67319"/>
    <w:rsid w:val="00C67520"/>
    <w:rsid w:val="00C67C96"/>
    <w:rsid w:val="00C67E2A"/>
    <w:rsid w:val="00C717A7"/>
    <w:rsid w:val="00C71A7A"/>
    <w:rsid w:val="00C72A41"/>
    <w:rsid w:val="00C72C6C"/>
    <w:rsid w:val="00C7316C"/>
    <w:rsid w:val="00C733B4"/>
    <w:rsid w:val="00C7340D"/>
    <w:rsid w:val="00C7393C"/>
    <w:rsid w:val="00C739DF"/>
    <w:rsid w:val="00C7459F"/>
    <w:rsid w:val="00C74691"/>
    <w:rsid w:val="00C74740"/>
    <w:rsid w:val="00C747A6"/>
    <w:rsid w:val="00C749B5"/>
    <w:rsid w:val="00C74B18"/>
    <w:rsid w:val="00C75588"/>
    <w:rsid w:val="00C763A3"/>
    <w:rsid w:val="00C7698F"/>
    <w:rsid w:val="00C76B15"/>
    <w:rsid w:val="00C76DCF"/>
    <w:rsid w:val="00C772BE"/>
    <w:rsid w:val="00C7746E"/>
    <w:rsid w:val="00C7769C"/>
    <w:rsid w:val="00C8024A"/>
    <w:rsid w:val="00C807FC"/>
    <w:rsid w:val="00C81378"/>
    <w:rsid w:val="00C81710"/>
    <w:rsid w:val="00C81BB5"/>
    <w:rsid w:val="00C8222C"/>
    <w:rsid w:val="00C822CD"/>
    <w:rsid w:val="00C82484"/>
    <w:rsid w:val="00C8281E"/>
    <w:rsid w:val="00C82844"/>
    <w:rsid w:val="00C8303D"/>
    <w:rsid w:val="00C83974"/>
    <w:rsid w:val="00C83A1C"/>
    <w:rsid w:val="00C83B64"/>
    <w:rsid w:val="00C8408C"/>
    <w:rsid w:val="00C8417B"/>
    <w:rsid w:val="00C843FA"/>
    <w:rsid w:val="00C849C8"/>
    <w:rsid w:val="00C84D02"/>
    <w:rsid w:val="00C854A4"/>
    <w:rsid w:val="00C85741"/>
    <w:rsid w:val="00C85766"/>
    <w:rsid w:val="00C85790"/>
    <w:rsid w:val="00C865F2"/>
    <w:rsid w:val="00C874BE"/>
    <w:rsid w:val="00C876DD"/>
    <w:rsid w:val="00C87ECA"/>
    <w:rsid w:val="00C90184"/>
    <w:rsid w:val="00C903A6"/>
    <w:rsid w:val="00C903C4"/>
    <w:rsid w:val="00C90F7E"/>
    <w:rsid w:val="00C9118F"/>
    <w:rsid w:val="00C91389"/>
    <w:rsid w:val="00C91472"/>
    <w:rsid w:val="00C914C4"/>
    <w:rsid w:val="00C9264D"/>
    <w:rsid w:val="00C92C06"/>
    <w:rsid w:val="00C92F97"/>
    <w:rsid w:val="00C9309E"/>
    <w:rsid w:val="00C9314F"/>
    <w:rsid w:val="00C938AB"/>
    <w:rsid w:val="00C938BC"/>
    <w:rsid w:val="00C938E1"/>
    <w:rsid w:val="00C93CB2"/>
    <w:rsid w:val="00C94240"/>
    <w:rsid w:val="00C945A7"/>
    <w:rsid w:val="00C94926"/>
    <w:rsid w:val="00C94C92"/>
    <w:rsid w:val="00C95109"/>
    <w:rsid w:val="00C95417"/>
    <w:rsid w:val="00C96783"/>
    <w:rsid w:val="00C96E65"/>
    <w:rsid w:val="00C97833"/>
    <w:rsid w:val="00C97867"/>
    <w:rsid w:val="00C97D31"/>
    <w:rsid w:val="00CA00E0"/>
    <w:rsid w:val="00CA0174"/>
    <w:rsid w:val="00CA020B"/>
    <w:rsid w:val="00CA10E7"/>
    <w:rsid w:val="00CA196A"/>
    <w:rsid w:val="00CA2347"/>
    <w:rsid w:val="00CA2A5D"/>
    <w:rsid w:val="00CA300C"/>
    <w:rsid w:val="00CA31A1"/>
    <w:rsid w:val="00CA31B1"/>
    <w:rsid w:val="00CA3230"/>
    <w:rsid w:val="00CA324C"/>
    <w:rsid w:val="00CA4516"/>
    <w:rsid w:val="00CA4D88"/>
    <w:rsid w:val="00CA5228"/>
    <w:rsid w:val="00CA52E6"/>
    <w:rsid w:val="00CA530F"/>
    <w:rsid w:val="00CA56D7"/>
    <w:rsid w:val="00CA67A2"/>
    <w:rsid w:val="00CA695D"/>
    <w:rsid w:val="00CA70DE"/>
    <w:rsid w:val="00CA73E1"/>
    <w:rsid w:val="00CA7A03"/>
    <w:rsid w:val="00CA7C2B"/>
    <w:rsid w:val="00CA7C64"/>
    <w:rsid w:val="00CB0532"/>
    <w:rsid w:val="00CB09C7"/>
    <w:rsid w:val="00CB0BF7"/>
    <w:rsid w:val="00CB0EEF"/>
    <w:rsid w:val="00CB0F5D"/>
    <w:rsid w:val="00CB1366"/>
    <w:rsid w:val="00CB1965"/>
    <w:rsid w:val="00CB1CBE"/>
    <w:rsid w:val="00CB1EB7"/>
    <w:rsid w:val="00CB1F7F"/>
    <w:rsid w:val="00CB24CF"/>
    <w:rsid w:val="00CB276C"/>
    <w:rsid w:val="00CB2EA2"/>
    <w:rsid w:val="00CB38BB"/>
    <w:rsid w:val="00CB3974"/>
    <w:rsid w:val="00CB3A86"/>
    <w:rsid w:val="00CB3E6F"/>
    <w:rsid w:val="00CB410D"/>
    <w:rsid w:val="00CB4153"/>
    <w:rsid w:val="00CB439A"/>
    <w:rsid w:val="00CB4563"/>
    <w:rsid w:val="00CB51DB"/>
    <w:rsid w:val="00CB52A9"/>
    <w:rsid w:val="00CB583C"/>
    <w:rsid w:val="00CB6404"/>
    <w:rsid w:val="00CB6A24"/>
    <w:rsid w:val="00CB6F08"/>
    <w:rsid w:val="00CB6FFC"/>
    <w:rsid w:val="00CB7270"/>
    <w:rsid w:val="00CB78DC"/>
    <w:rsid w:val="00CB79C3"/>
    <w:rsid w:val="00CB7F0D"/>
    <w:rsid w:val="00CC0D44"/>
    <w:rsid w:val="00CC0F2E"/>
    <w:rsid w:val="00CC17FF"/>
    <w:rsid w:val="00CC1956"/>
    <w:rsid w:val="00CC1A3F"/>
    <w:rsid w:val="00CC1AC7"/>
    <w:rsid w:val="00CC1BD3"/>
    <w:rsid w:val="00CC214C"/>
    <w:rsid w:val="00CC2500"/>
    <w:rsid w:val="00CC2AF5"/>
    <w:rsid w:val="00CC2B28"/>
    <w:rsid w:val="00CC2F07"/>
    <w:rsid w:val="00CC2F7E"/>
    <w:rsid w:val="00CC2FB0"/>
    <w:rsid w:val="00CC32F2"/>
    <w:rsid w:val="00CC389D"/>
    <w:rsid w:val="00CC3963"/>
    <w:rsid w:val="00CC3FB5"/>
    <w:rsid w:val="00CC5474"/>
    <w:rsid w:val="00CC5EA6"/>
    <w:rsid w:val="00CC6107"/>
    <w:rsid w:val="00CC6264"/>
    <w:rsid w:val="00CC662B"/>
    <w:rsid w:val="00CC6941"/>
    <w:rsid w:val="00CC70CA"/>
    <w:rsid w:val="00CC70FC"/>
    <w:rsid w:val="00CC74E0"/>
    <w:rsid w:val="00CC751F"/>
    <w:rsid w:val="00CC7714"/>
    <w:rsid w:val="00CC7D2F"/>
    <w:rsid w:val="00CD064A"/>
    <w:rsid w:val="00CD0BC9"/>
    <w:rsid w:val="00CD103B"/>
    <w:rsid w:val="00CD2047"/>
    <w:rsid w:val="00CD21C0"/>
    <w:rsid w:val="00CD2310"/>
    <w:rsid w:val="00CD2611"/>
    <w:rsid w:val="00CD26B6"/>
    <w:rsid w:val="00CD363E"/>
    <w:rsid w:val="00CD38BD"/>
    <w:rsid w:val="00CD3A64"/>
    <w:rsid w:val="00CD3D9E"/>
    <w:rsid w:val="00CD4221"/>
    <w:rsid w:val="00CD4390"/>
    <w:rsid w:val="00CD4601"/>
    <w:rsid w:val="00CD496C"/>
    <w:rsid w:val="00CD49CE"/>
    <w:rsid w:val="00CD52DF"/>
    <w:rsid w:val="00CD56B6"/>
    <w:rsid w:val="00CD67B8"/>
    <w:rsid w:val="00CD752F"/>
    <w:rsid w:val="00CD7872"/>
    <w:rsid w:val="00CE0551"/>
    <w:rsid w:val="00CE0602"/>
    <w:rsid w:val="00CE0741"/>
    <w:rsid w:val="00CE0A78"/>
    <w:rsid w:val="00CE118A"/>
    <w:rsid w:val="00CE15D3"/>
    <w:rsid w:val="00CE196B"/>
    <w:rsid w:val="00CE1AEC"/>
    <w:rsid w:val="00CE1AFB"/>
    <w:rsid w:val="00CE21A3"/>
    <w:rsid w:val="00CE2212"/>
    <w:rsid w:val="00CE221E"/>
    <w:rsid w:val="00CE2AC7"/>
    <w:rsid w:val="00CE2ED5"/>
    <w:rsid w:val="00CE3041"/>
    <w:rsid w:val="00CE3285"/>
    <w:rsid w:val="00CE36EC"/>
    <w:rsid w:val="00CE375D"/>
    <w:rsid w:val="00CE39A5"/>
    <w:rsid w:val="00CE3B1D"/>
    <w:rsid w:val="00CE3BC6"/>
    <w:rsid w:val="00CE3E36"/>
    <w:rsid w:val="00CE50E7"/>
    <w:rsid w:val="00CE52A7"/>
    <w:rsid w:val="00CE53E4"/>
    <w:rsid w:val="00CE5450"/>
    <w:rsid w:val="00CE726C"/>
    <w:rsid w:val="00CE76E3"/>
    <w:rsid w:val="00CE7752"/>
    <w:rsid w:val="00CE79FB"/>
    <w:rsid w:val="00CE7D9F"/>
    <w:rsid w:val="00CE7F5E"/>
    <w:rsid w:val="00CF092F"/>
    <w:rsid w:val="00CF0996"/>
    <w:rsid w:val="00CF0999"/>
    <w:rsid w:val="00CF1009"/>
    <w:rsid w:val="00CF164B"/>
    <w:rsid w:val="00CF21B4"/>
    <w:rsid w:val="00CF2238"/>
    <w:rsid w:val="00CF2529"/>
    <w:rsid w:val="00CF2E11"/>
    <w:rsid w:val="00CF3250"/>
    <w:rsid w:val="00CF340C"/>
    <w:rsid w:val="00CF3752"/>
    <w:rsid w:val="00CF38BD"/>
    <w:rsid w:val="00CF3F8A"/>
    <w:rsid w:val="00CF41F4"/>
    <w:rsid w:val="00CF4532"/>
    <w:rsid w:val="00CF4685"/>
    <w:rsid w:val="00CF486F"/>
    <w:rsid w:val="00CF4B5C"/>
    <w:rsid w:val="00CF5BC6"/>
    <w:rsid w:val="00CF5D20"/>
    <w:rsid w:val="00CF621D"/>
    <w:rsid w:val="00CF6F49"/>
    <w:rsid w:val="00CF71F2"/>
    <w:rsid w:val="00CF744E"/>
    <w:rsid w:val="00CF75CA"/>
    <w:rsid w:val="00CF7846"/>
    <w:rsid w:val="00CF7B66"/>
    <w:rsid w:val="00CF7CC0"/>
    <w:rsid w:val="00D0023C"/>
    <w:rsid w:val="00D00330"/>
    <w:rsid w:val="00D00D08"/>
    <w:rsid w:val="00D013D2"/>
    <w:rsid w:val="00D01701"/>
    <w:rsid w:val="00D01922"/>
    <w:rsid w:val="00D021C6"/>
    <w:rsid w:val="00D025CC"/>
    <w:rsid w:val="00D026B8"/>
    <w:rsid w:val="00D02CC0"/>
    <w:rsid w:val="00D02E9E"/>
    <w:rsid w:val="00D037E1"/>
    <w:rsid w:val="00D03A72"/>
    <w:rsid w:val="00D03B49"/>
    <w:rsid w:val="00D03BD3"/>
    <w:rsid w:val="00D040BB"/>
    <w:rsid w:val="00D047D7"/>
    <w:rsid w:val="00D04AF2"/>
    <w:rsid w:val="00D04DEA"/>
    <w:rsid w:val="00D05251"/>
    <w:rsid w:val="00D052CB"/>
    <w:rsid w:val="00D05672"/>
    <w:rsid w:val="00D05C74"/>
    <w:rsid w:val="00D05DEA"/>
    <w:rsid w:val="00D05F84"/>
    <w:rsid w:val="00D06F56"/>
    <w:rsid w:val="00D0735D"/>
    <w:rsid w:val="00D07AB3"/>
    <w:rsid w:val="00D07FBA"/>
    <w:rsid w:val="00D101B5"/>
    <w:rsid w:val="00D104F3"/>
    <w:rsid w:val="00D105CF"/>
    <w:rsid w:val="00D108F0"/>
    <w:rsid w:val="00D10960"/>
    <w:rsid w:val="00D114D4"/>
    <w:rsid w:val="00D11509"/>
    <w:rsid w:val="00D11826"/>
    <w:rsid w:val="00D11B0D"/>
    <w:rsid w:val="00D11DE2"/>
    <w:rsid w:val="00D1206E"/>
    <w:rsid w:val="00D12801"/>
    <w:rsid w:val="00D12F11"/>
    <w:rsid w:val="00D13197"/>
    <w:rsid w:val="00D1336F"/>
    <w:rsid w:val="00D13421"/>
    <w:rsid w:val="00D13B63"/>
    <w:rsid w:val="00D1402F"/>
    <w:rsid w:val="00D14156"/>
    <w:rsid w:val="00D14646"/>
    <w:rsid w:val="00D14C02"/>
    <w:rsid w:val="00D14CB5"/>
    <w:rsid w:val="00D14FA6"/>
    <w:rsid w:val="00D155EB"/>
    <w:rsid w:val="00D15B36"/>
    <w:rsid w:val="00D15B54"/>
    <w:rsid w:val="00D15DC1"/>
    <w:rsid w:val="00D15F14"/>
    <w:rsid w:val="00D16AA9"/>
    <w:rsid w:val="00D16D22"/>
    <w:rsid w:val="00D171D0"/>
    <w:rsid w:val="00D17347"/>
    <w:rsid w:val="00D176B6"/>
    <w:rsid w:val="00D17F52"/>
    <w:rsid w:val="00D201D0"/>
    <w:rsid w:val="00D20553"/>
    <w:rsid w:val="00D20F93"/>
    <w:rsid w:val="00D21978"/>
    <w:rsid w:val="00D21C97"/>
    <w:rsid w:val="00D22686"/>
    <w:rsid w:val="00D226CF"/>
    <w:rsid w:val="00D22F1C"/>
    <w:rsid w:val="00D230E6"/>
    <w:rsid w:val="00D2319E"/>
    <w:rsid w:val="00D2369A"/>
    <w:rsid w:val="00D23A02"/>
    <w:rsid w:val="00D23EA4"/>
    <w:rsid w:val="00D23FD5"/>
    <w:rsid w:val="00D23FE3"/>
    <w:rsid w:val="00D2430A"/>
    <w:rsid w:val="00D244A8"/>
    <w:rsid w:val="00D24723"/>
    <w:rsid w:val="00D24A2A"/>
    <w:rsid w:val="00D24D57"/>
    <w:rsid w:val="00D259FE"/>
    <w:rsid w:val="00D25E8C"/>
    <w:rsid w:val="00D25EA1"/>
    <w:rsid w:val="00D264D9"/>
    <w:rsid w:val="00D26578"/>
    <w:rsid w:val="00D26680"/>
    <w:rsid w:val="00D26D9F"/>
    <w:rsid w:val="00D26EDD"/>
    <w:rsid w:val="00D2702D"/>
    <w:rsid w:val="00D2739F"/>
    <w:rsid w:val="00D27543"/>
    <w:rsid w:val="00D304CF"/>
    <w:rsid w:val="00D30E83"/>
    <w:rsid w:val="00D31180"/>
    <w:rsid w:val="00D317F9"/>
    <w:rsid w:val="00D31A7A"/>
    <w:rsid w:val="00D31BAA"/>
    <w:rsid w:val="00D31EA1"/>
    <w:rsid w:val="00D31F79"/>
    <w:rsid w:val="00D3210C"/>
    <w:rsid w:val="00D321D8"/>
    <w:rsid w:val="00D323B5"/>
    <w:rsid w:val="00D325DC"/>
    <w:rsid w:val="00D32AA0"/>
    <w:rsid w:val="00D32D40"/>
    <w:rsid w:val="00D33344"/>
    <w:rsid w:val="00D336D4"/>
    <w:rsid w:val="00D33763"/>
    <w:rsid w:val="00D33C35"/>
    <w:rsid w:val="00D33D80"/>
    <w:rsid w:val="00D34458"/>
    <w:rsid w:val="00D345EF"/>
    <w:rsid w:val="00D348BD"/>
    <w:rsid w:val="00D352E7"/>
    <w:rsid w:val="00D354AB"/>
    <w:rsid w:val="00D357DA"/>
    <w:rsid w:val="00D35E60"/>
    <w:rsid w:val="00D3629D"/>
    <w:rsid w:val="00D367FD"/>
    <w:rsid w:val="00D368B2"/>
    <w:rsid w:val="00D369EE"/>
    <w:rsid w:val="00D36D57"/>
    <w:rsid w:val="00D37F87"/>
    <w:rsid w:val="00D40A62"/>
    <w:rsid w:val="00D411B2"/>
    <w:rsid w:val="00D4136C"/>
    <w:rsid w:val="00D413C3"/>
    <w:rsid w:val="00D41722"/>
    <w:rsid w:val="00D4238F"/>
    <w:rsid w:val="00D427A6"/>
    <w:rsid w:val="00D43406"/>
    <w:rsid w:val="00D43E14"/>
    <w:rsid w:val="00D4435A"/>
    <w:rsid w:val="00D44367"/>
    <w:rsid w:val="00D443AC"/>
    <w:rsid w:val="00D449CA"/>
    <w:rsid w:val="00D44AF4"/>
    <w:rsid w:val="00D44B76"/>
    <w:rsid w:val="00D44B87"/>
    <w:rsid w:val="00D44C25"/>
    <w:rsid w:val="00D44F94"/>
    <w:rsid w:val="00D4611B"/>
    <w:rsid w:val="00D46B88"/>
    <w:rsid w:val="00D46F42"/>
    <w:rsid w:val="00D474DD"/>
    <w:rsid w:val="00D477F8"/>
    <w:rsid w:val="00D478A0"/>
    <w:rsid w:val="00D478C4"/>
    <w:rsid w:val="00D47A04"/>
    <w:rsid w:val="00D50597"/>
    <w:rsid w:val="00D50A46"/>
    <w:rsid w:val="00D50F96"/>
    <w:rsid w:val="00D51001"/>
    <w:rsid w:val="00D51DE9"/>
    <w:rsid w:val="00D523CC"/>
    <w:rsid w:val="00D523F2"/>
    <w:rsid w:val="00D52C69"/>
    <w:rsid w:val="00D52F5E"/>
    <w:rsid w:val="00D53514"/>
    <w:rsid w:val="00D5373E"/>
    <w:rsid w:val="00D54180"/>
    <w:rsid w:val="00D544F4"/>
    <w:rsid w:val="00D5553D"/>
    <w:rsid w:val="00D556A3"/>
    <w:rsid w:val="00D55719"/>
    <w:rsid w:val="00D55910"/>
    <w:rsid w:val="00D55A74"/>
    <w:rsid w:val="00D560F4"/>
    <w:rsid w:val="00D56435"/>
    <w:rsid w:val="00D5664D"/>
    <w:rsid w:val="00D566D8"/>
    <w:rsid w:val="00D56810"/>
    <w:rsid w:val="00D56A8E"/>
    <w:rsid w:val="00D56DE6"/>
    <w:rsid w:val="00D56E9A"/>
    <w:rsid w:val="00D5730B"/>
    <w:rsid w:val="00D57466"/>
    <w:rsid w:val="00D57477"/>
    <w:rsid w:val="00D57C0C"/>
    <w:rsid w:val="00D601BB"/>
    <w:rsid w:val="00D60C4A"/>
    <w:rsid w:val="00D60D13"/>
    <w:rsid w:val="00D611A6"/>
    <w:rsid w:val="00D61880"/>
    <w:rsid w:val="00D62B19"/>
    <w:rsid w:val="00D64231"/>
    <w:rsid w:val="00D6428D"/>
    <w:rsid w:val="00D64AE1"/>
    <w:rsid w:val="00D64E42"/>
    <w:rsid w:val="00D6519F"/>
    <w:rsid w:val="00D65360"/>
    <w:rsid w:val="00D6560E"/>
    <w:rsid w:val="00D656C2"/>
    <w:rsid w:val="00D6639B"/>
    <w:rsid w:val="00D66A3D"/>
    <w:rsid w:val="00D66BE0"/>
    <w:rsid w:val="00D673BB"/>
    <w:rsid w:val="00D67462"/>
    <w:rsid w:val="00D6781C"/>
    <w:rsid w:val="00D6788F"/>
    <w:rsid w:val="00D67FCC"/>
    <w:rsid w:val="00D70003"/>
    <w:rsid w:val="00D701CA"/>
    <w:rsid w:val="00D70227"/>
    <w:rsid w:val="00D70DD1"/>
    <w:rsid w:val="00D722BF"/>
    <w:rsid w:val="00D7244C"/>
    <w:rsid w:val="00D72ADE"/>
    <w:rsid w:val="00D72C02"/>
    <w:rsid w:val="00D732F7"/>
    <w:rsid w:val="00D73CF7"/>
    <w:rsid w:val="00D73CFD"/>
    <w:rsid w:val="00D7457B"/>
    <w:rsid w:val="00D7461A"/>
    <w:rsid w:val="00D747A0"/>
    <w:rsid w:val="00D747BB"/>
    <w:rsid w:val="00D75EA9"/>
    <w:rsid w:val="00D76056"/>
    <w:rsid w:val="00D7625C"/>
    <w:rsid w:val="00D76418"/>
    <w:rsid w:val="00D76A2C"/>
    <w:rsid w:val="00D76C15"/>
    <w:rsid w:val="00D7720F"/>
    <w:rsid w:val="00D7772D"/>
    <w:rsid w:val="00D77784"/>
    <w:rsid w:val="00D77AEB"/>
    <w:rsid w:val="00D77C62"/>
    <w:rsid w:val="00D80975"/>
    <w:rsid w:val="00D81375"/>
    <w:rsid w:val="00D813DA"/>
    <w:rsid w:val="00D820C6"/>
    <w:rsid w:val="00D8230E"/>
    <w:rsid w:val="00D8250D"/>
    <w:rsid w:val="00D82760"/>
    <w:rsid w:val="00D82CB0"/>
    <w:rsid w:val="00D838D4"/>
    <w:rsid w:val="00D83AE9"/>
    <w:rsid w:val="00D8435D"/>
    <w:rsid w:val="00D84EFB"/>
    <w:rsid w:val="00D850E5"/>
    <w:rsid w:val="00D85733"/>
    <w:rsid w:val="00D87B97"/>
    <w:rsid w:val="00D87F4A"/>
    <w:rsid w:val="00D900D2"/>
    <w:rsid w:val="00D90A36"/>
    <w:rsid w:val="00D91267"/>
    <w:rsid w:val="00D915B3"/>
    <w:rsid w:val="00D91C16"/>
    <w:rsid w:val="00D927E1"/>
    <w:rsid w:val="00D928FB"/>
    <w:rsid w:val="00D92923"/>
    <w:rsid w:val="00D93117"/>
    <w:rsid w:val="00D934A2"/>
    <w:rsid w:val="00D937F9"/>
    <w:rsid w:val="00D93986"/>
    <w:rsid w:val="00D94D42"/>
    <w:rsid w:val="00D95389"/>
    <w:rsid w:val="00D95B63"/>
    <w:rsid w:val="00D95DEE"/>
    <w:rsid w:val="00D95F2B"/>
    <w:rsid w:val="00D967A2"/>
    <w:rsid w:val="00D96D11"/>
    <w:rsid w:val="00D96E3B"/>
    <w:rsid w:val="00D9708B"/>
    <w:rsid w:val="00D97AAF"/>
    <w:rsid w:val="00DA0226"/>
    <w:rsid w:val="00DA140D"/>
    <w:rsid w:val="00DA1B69"/>
    <w:rsid w:val="00DA1C5B"/>
    <w:rsid w:val="00DA1EE9"/>
    <w:rsid w:val="00DA28CF"/>
    <w:rsid w:val="00DA2ACE"/>
    <w:rsid w:val="00DA34C8"/>
    <w:rsid w:val="00DA35CD"/>
    <w:rsid w:val="00DA3870"/>
    <w:rsid w:val="00DA3935"/>
    <w:rsid w:val="00DA3CDB"/>
    <w:rsid w:val="00DA43AF"/>
    <w:rsid w:val="00DA468E"/>
    <w:rsid w:val="00DA4929"/>
    <w:rsid w:val="00DA4A6B"/>
    <w:rsid w:val="00DA4EEF"/>
    <w:rsid w:val="00DA591B"/>
    <w:rsid w:val="00DA59D0"/>
    <w:rsid w:val="00DA6504"/>
    <w:rsid w:val="00DA74E2"/>
    <w:rsid w:val="00DA75AF"/>
    <w:rsid w:val="00DA765A"/>
    <w:rsid w:val="00DB0028"/>
    <w:rsid w:val="00DB012A"/>
    <w:rsid w:val="00DB0C3E"/>
    <w:rsid w:val="00DB10DC"/>
    <w:rsid w:val="00DB1789"/>
    <w:rsid w:val="00DB1C47"/>
    <w:rsid w:val="00DB1DBB"/>
    <w:rsid w:val="00DB1E91"/>
    <w:rsid w:val="00DB2053"/>
    <w:rsid w:val="00DB20F8"/>
    <w:rsid w:val="00DB22C3"/>
    <w:rsid w:val="00DB26A8"/>
    <w:rsid w:val="00DB2F9A"/>
    <w:rsid w:val="00DB37E0"/>
    <w:rsid w:val="00DB39DB"/>
    <w:rsid w:val="00DB3C97"/>
    <w:rsid w:val="00DB3F86"/>
    <w:rsid w:val="00DB3F9C"/>
    <w:rsid w:val="00DB4A30"/>
    <w:rsid w:val="00DB4E36"/>
    <w:rsid w:val="00DB4F94"/>
    <w:rsid w:val="00DB5699"/>
    <w:rsid w:val="00DB5896"/>
    <w:rsid w:val="00DB5E1D"/>
    <w:rsid w:val="00DB6171"/>
    <w:rsid w:val="00DB6918"/>
    <w:rsid w:val="00DB740B"/>
    <w:rsid w:val="00DB7EBB"/>
    <w:rsid w:val="00DC06F9"/>
    <w:rsid w:val="00DC0B89"/>
    <w:rsid w:val="00DC0C1B"/>
    <w:rsid w:val="00DC0F4F"/>
    <w:rsid w:val="00DC10DC"/>
    <w:rsid w:val="00DC1524"/>
    <w:rsid w:val="00DC180B"/>
    <w:rsid w:val="00DC1FFC"/>
    <w:rsid w:val="00DC21CD"/>
    <w:rsid w:val="00DC2583"/>
    <w:rsid w:val="00DC34C1"/>
    <w:rsid w:val="00DC3D54"/>
    <w:rsid w:val="00DC3DA7"/>
    <w:rsid w:val="00DC3F43"/>
    <w:rsid w:val="00DC3F66"/>
    <w:rsid w:val="00DC4950"/>
    <w:rsid w:val="00DC4CCD"/>
    <w:rsid w:val="00DC6164"/>
    <w:rsid w:val="00DC6824"/>
    <w:rsid w:val="00DC70C0"/>
    <w:rsid w:val="00DC729B"/>
    <w:rsid w:val="00DC77ED"/>
    <w:rsid w:val="00DC7D60"/>
    <w:rsid w:val="00DD0DF3"/>
    <w:rsid w:val="00DD138E"/>
    <w:rsid w:val="00DD13F9"/>
    <w:rsid w:val="00DD1749"/>
    <w:rsid w:val="00DD1FF8"/>
    <w:rsid w:val="00DD24E0"/>
    <w:rsid w:val="00DD2584"/>
    <w:rsid w:val="00DD2654"/>
    <w:rsid w:val="00DD2B8A"/>
    <w:rsid w:val="00DD2F22"/>
    <w:rsid w:val="00DD4AE4"/>
    <w:rsid w:val="00DD5A07"/>
    <w:rsid w:val="00DD5B72"/>
    <w:rsid w:val="00DD5C5E"/>
    <w:rsid w:val="00DD66F0"/>
    <w:rsid w:val="00DD69FE"/>
    <w:rsid w:val="00DD72E8"/>
    <w:rsid w:val="00DD7584"/>
    <w:rsid w:val="00DE009D"/>
    <w:rsid w:val="00DE098F"/>
    <w:rsid w:val="00DE0E55"/>
    <w:rsid w:val="00DE1DCE"/>
    <w:rsid w:val="00DE2225"/>
    <w:rsid w:val="00DE2372"/>
    <w:rsid w:val="00DE243C"/>
    <w:rsid w:val="00DE2463"/>
    <w:rsid w:val="00DE29E2"/>
    <w:rsid w:val="00DE2F65"/>
    <w:rsid w:val="00DE357F"/>
    <w:rsid w:val="00DE3940"/>
    <w:rsid w:val="00DE3A76"/>
    <w:rsid w:val="00DE41FB"/>
    <w:rsid w:val="00DE447D"/>
    <w:rsid w:val="00DE447E"/>
    <w:rsid w:val="00DE4495"/>
    <w:rsid w:val="00DE4D5A"/>
    <w:rsid w:val="00DE4DC8"/>
    <w:rsid w:val="00DE4F63"/>
    <w:rsid w:val="00DE53C2"/>
    <w:rsid w:val="00DE5C6B"/>
    <w:rsid w:val="00DE5D7A"/>
    <w:rsid w:val="00DE5E2D"/>
    <w:rsid w:val="00DE69E8"/>
    <w:rsid w:val="00DE6B34"/>
    <w:rsid w:val="00DE70ED"/>
    <w:rsid w:val="00DE72E4"/>
    <w:rsid w:val="00DE7546"/>
    <w:rsid w:val="00DE791A"/>
    <w:rsid w:val="00DE79D4"/>
    <w:rsid w:val="00DE7C6C"/>
    <w:rsid w:val="00DF0151"/>
    <w:rsid w:val="00DF0336"/>
    <w:rsid w:val="00DF0F3F"/>
    <w:rsid w:val="00DF0FBC"/>
    <w:rsid w:val="00DF10D4"/>
    <w:rsid w:val="00DF16B7"/>
    <w:rsid w:val="00DF1786"/>
    <w:rsid w:val="00DF1C5D"/>
    <w:rsid w:val="00DF1E73"/>
    <w:rsid w:val="00DF29C1"/>
    <w:rsid w:val="00DF308C"/>
    <w:rsid w:val="00DF3178"/>
    <w:rsid w:val="00DF37FE"/>
    <w:rsid w:val="00DF58CD"/>
    <w:rsid w:val="00DF5AB3"/>
    <w:rsid w:val="00DF5D41"/>
    <w:rsid w:val="00DF6C51"/>
    <w:rsid w:val="00DF6FD2"/>
    <w:rsid w:val="00DF77E9"/>
    <w:rsid w:val="00DF7859"/>
    <w:rsid w:val="00DF7CCC"/>
    <w:rsid w:val="00E00706"/>
    <w:rsid w:val="00E00C21"/>
    <w:rsid w:val="00E00FB3"/>
    <w:rsid w:val="00E013EE"/>
    <w:rsid w:val="00E01860"/>
    <w:rsid w:val="00E019F5"/>
    <w:rsid w:val="00E02A5B"/>
    <w:rsid w:val="00E02AE0"/>
    <w:rsid w:val="00E02B07"/>
    <w:rsid w:val="00E02EBF"/>
    <w:rsid w:val="00E03813"/>
    <w:rsid w:val="00E03898"/>
    <w:rsid w:val="00E04032"/>
    <w:rsid w:val="00E048FE"/>
    <w:rsid w:val="00E04D3D"/>
    <w:rsid w:val="00E053E8"/>
    <w:rsid w:val="00E05D9A"/>
    <w:rsid w:val="00E062D1"/>
    <w:rsid w:val="00E06579"/>
    <w:rsid w:val="00E069C7"/>
    <w:rsid w:val="00E075FA"/>
    <w:rsid w:val="00E076BA"/>
    <w:rsid w:val="00E101B6"/>
    <w:rsid w:val="00E10634"/>
    <w:rsid w:val="00E10823"/>
    <w:rsid w:val="00E10FA7"/>
    <w:rsid w:val="00E111B2"/>
    <w:rsid w:val="00E12038"/>
    <w:rsid w:val="00E123F9"/>
    <w:rsid w:val="00E125D8"/>
    <w:rsid w:val="00E12635"/>
    <w:rsid w:val="00E129DC"/>
    <w:rsid w:val="00E131BD"/>
    <w:rsid w:val="00E14234"/>
    <w:rsid w:val="00E1475F"/>
    <w:rsid w:val="00E14ADB"/>
    <w:rsid w:val="00E15394"/>
    <w:rsid w:val="00E16676"/>
    <w:rsid w:val="00E16908"/>
    <w:rsid w:val="00E16E48"/>
    <w:rsid w:val="00E16EAC"/>
    <w:rsid w:val="00E17035"/>
    <w:rsid w:val="00E175EE"/>
    <w:rsid w:val="00E17CF8"/>
    <w:rsid w:val="00E20D04"/>
    <w:rsid w:val="00E21108"/>
    <w:rsid w:val="00E21515"/>
    <w:rsid w:val="00E2190D"/>
    <w:rsid w:val="00E21DE4"/>
    <w:rsid w:val="00E22878"/>
    <w:rsid w:val="00E2298D"/>
    <w:rsid w:val="00E231B6"/>
    <w:rsid w:val="00E231B9"/>
    <w:rsid w:val="00E23394"/>
    <w:rsid w:val="00E2344C"/>
    <w:rsid w:val="00E236A0"/>
    <w:rsid w:val="00E23756"/>
    <w:rsid w:val="00E23A1E"/>
    <w:rsid w:val="00E24143"/>
    <w:rsid w:val="00E2447C"/>
    <w:rsid w:val="00E2466D"/>
    <w:rsid w:val="00E24A75"/>
    <w:rsid w:val="00E259CC"/>
    <w:rsid w:val="00E25E72"/>
    <w:rsid w:val="00E26BE5"/>
    <w:rsid w:val="00E26EAB"/>
    <w:rsid w:val="00E27CF1"/>
    <w:rsid w:val="00E27D43"/>
    <w:rsid w:val="00E30839"/>
    <w:rsid w:val="00E30FFB"/>
    <w:rsid w:val="00E316D7"/>
    <w:rsid w:val="00E31F19"/>
    <w:rsid w:val="00E32502"/>
    <w:rsid w:val="00E33813"/>
    <w:rsid w:val="00E33CAB"/>
    <w:rsid w:val="00E33D55"/>
    <w:rsid w:val="00E34816"/>
    <w:rsid w:val="00E34B7E"/>
    <w:rsid w:val="00E352F5"/>
    <w:rsid w:val="00E35406"/>
    <w:rsid w:val="00E3583A"/>
    <w:rsid w:val="00E3583F"/>
    <w:rsid w:val="00E358AE"/>
    <w:rsid w:val="00E35DFF"/>
    <w:rsid w:val="00E3605A"/>
    <w:rsid w:val="00E362A9"/>
    <w:rsid w:val="00E36949"/>
    <w:rsid w:val="00E36DF8"/>
    <w:rsid w:val="00E375B6"/>
    <w:rsid w:val="00E401F3"/>
    <w:rsid w:val="00E40335"/>
    <w:rsid w:val="00E4068F"/>
    <w:rsid w:val="00E410EC"/>
    <w:rsid w:val="00E41883"/>
    <w:rsid w:val="00E42530"/>
    <w:rsid w:val="00E42EDD"/>
    <w:rsid w:val="00E42F49"/>
    <w:rsid w:val="00E43485"/>
    <w:rsid w:val="00E435F6"/>
    <w:rsid w:val="00E43828"/>
    <w:rsid w:val="00E43C17"/>
    <w:rsid w:val="00E43C81"/>
    <w:rsid w:val="00E43C94"/>
    <w:rsid w:val="00E4432A"/>
    <w:rsid w:val="00E444B9"/>
    <w:rsid w:val="00E44853"/>
    <w:rsid w:val="00E44978"/>
    <w:rsid w:val="00E449FC"/>
    <w:rsid w:val="00E4541A"/>
    <w:rsid w:val="00E456BB"/>
    <w:rsid w:val="00E47107"/>
    <w:rsid w:val="00E47153"/>
    <w:rsid w:val="00E4730C"/>
    <w:rsid w:val="00E474B1"/>
    <w:rsid w:val="00E47E33"/>
    <w:rsid w:val="00E50598"/>
    <w:rsid w:val="00E505CD"/>
    <w:rsid w:val="00E508A7"/>
    <w:rsid w:val="00E50A79"/>
    <w:rsid w:val="00E50C98"/>
    <w:rsid w:val="00E50E8A"/>
    <w:rsid w:val="00E511E6"/>
    <w:rsid w:val="00E5175F"/>
    <w:rsid w:val="00E51AEA"/>
    <w:rsid w:val="00E51BAB"/>
    <w:rsid w:val="00E52524"/>
    <w:rsid w:val="00E534B2"/>
    <w:rsid w:val="00E53521"/>
    <w:rsid w:val="00E539CD"/>
    <w:rsid w:val="00E53F93"/>
    <w:rsid w:val="00E54801"/>
    <w:rsid w:val="00E5498D"/>
    <w:rsid w:val="00E54C91"/>
    <w:rsid w:val="00E54D79"/>
    <w:rsid w:val="00E54EF1"/>
    <w:rsid w:val="00E553DF"/>
    <w:rsid w:val="00E5585D"/>
    <w:rsid w:val="00E55E12"/>
    <w:rsid w:val="00E563CB"/>
    <w:rsid w:val="00E5644D"/>
    <w:rsid w:val="00E56AA1"/>
    <w:rsid w:val="00E56B61"/>
    <w:rsid w:val="00E56CDF"/>
    <w:rsid w:val="00E56E52"/>
    <w:rsid w:val="00E5773B"/>
    <w:rsid w:val="00E6015F"/>
    <w:rsid w:val="00E605C9"/>
    <w:rsid w:val="00E60887"/>
    <w:rsid w:val="00E60E4A"/>
    <w:rsid w:val="00E612A9"/>
    <w:rsid w:val="00E61365"/>
    <w:rsid w:val="00E614DE"/>
    <w:rsid w:val="00E61EA0"/>
    <w:rsid w:val="00E61FAA"/>
    <w:rsid w:val="00E62BA2"/>
    <w:rsid w:val="00E6316F"/>
    <w:rsid w:val="00E63198"/>
    <w:rsid w:val="00E633A7"/>
    <w:rsid w:val="00E64106"/>
    <w:rsid w:val="00E64861"/>
    <w:rsid w:val="00E648F7"/>
    <w:rsid w:val="00E6539C"/>
    <w:rsid w:val="00E65B5D"/>
    <w:rsid w:val="00E65D41"/>
    <w:rsid w:val="00E65E6A"/>
    <w:rsid w:val="00E66212"/>
    <w:rsid w:val="00E66549"/>
    <w:rsid w:val="00E6671C"/>
    <w:rsid w:val="00E66A06"/>
    <w:rsid w:val="00E66B50"/>
    <w:rsid w:val="00E66B5E"/>
    <w:rsid w:val="00E66ECA"/>
    <w:rsid w:val="00E66FFE"/>
    <w:rsid w:val="00E6779B"/>
    <w:rsid w:val="00E7015E"/>
    <w:rsid w:val="00E70556"/>
    <w:rsid w:val="00E70C6F"/>
    <w:rsid w:val="00E70F2F"/>
    <w:rsid w:val="00E71096"/>
    <w:rsid w:val="00E713AF"/>
    <w:rsid w:val="00E7164A"/>
    <w:rsid w:val="00E7293C"/>
    <w:rsid w:val="00E72BCE"/>
    <w:rsid w:val="00E72E49"/>
    <w:rsid w:val="00E73000"/>
    <w:rsid w:val="00E733CF"/>
    <w:rsid w:val="00E73D9C"/>
    <w:rsid w:val="00E749DE"/>
    <w:rsid w:val="00E75472"/>
    <w:rsid w:val="00E757F7"/>
    <w:rsid w:val="00E7585C"/>
    <w:rsid w:val="00E7588E"/>
    <w:rsid w:val="00E75EB4"/>
    <w:rsid w:val="00E760E3"/>
    <w:rsid w:val="00E76566"/>
    <w:rsid w:val="00E76652"/>
    <w:rsid w:val="00E7715F"/>
    <w:rsid w:val="00E77E19"/>
    <w:rsid w:val="00E801D1"/>
    <w:rsid w:val="00E80A9C"/>
    <w:rsid w:val="00E812FE"/>
    <w:rsid w:val="00E81733"/>
    <w:rsid w:val="00E8197A"/>
    <w:rsid w:val="00E81A5E"/>
    <w:rsid w:val="00E81C59"/>
    <w:rsid w:val="00E81D2D"/>
    <w:rsid w:val="00E824F5"/>
    <w:rsid w:val="00E825DB"/>
    <w:rsid w:val="00E8269B"/>
    <w:rsid w:val="00E82A74"/>
    <w:rsid w:val="00E83AF4"/>
    <w:rsid w:val="00E83D52"/>
    <w:rsid w:val="00E83D81"/>
    <w:rsid w:val="00E84268"/>
    <w:rsid w:val="00E843D0"/>
    <w:rsid w:val="00E843E2"/>
    <w:rsid w:val="00E847E2"/>
    <w:rsid w:val="00E84DFE"/>
    <w:rsid w:val="00E854CC"/>
    <w:rsid w:val="00E857F3"/>
    <w:rsid w:val="00E85958"/>
    <w:rsid w:val="00E85C86"/>
    <w:rsid w:val="00E86F42"/>
    <w:rsid w:val="00E87334"/>
    <w:rsid w:val="00E8751E"/>
    <w:rsid w:val="00E87AEC"/>
    <w:rsid w:val="00E87C97"/>
    <w:rsid w:val="00E9051B"/>
    <w:rsid w:val="00E905B2"/>
    <w:rsid w:val="00E905DB"/>
    <w:rsid w:val="00E90648"/>
    <w:rsid w:val="00E90CC2"/>
    <w:rsid w:val="00E9235E"/>
    <w:rsid w:val="00E92854"/>
    <w:rsid w:val="00E92D71"/>
    <w:rsid w:val="00E9338B"/>
    <w:rsid w:val="00E93834"/>
    <w:rsid w:val="00E946F1"/>
    <w:rsid w:val="00E94B08"/>
    <w:rsid w:val="00E94B15"/>
    <w:rsid w:val="00E94BDB"/>
    <w:rsid w:val="00E952BC"/>
    <w:rsid w:val="00E95306"/>
    <w:rsid w:val="00E95A41"/>
    <w:rsid w:val="00E95C02"/>
    <w:rsid w:val="00E95C9F"/>
    <w:rsid w:val="00E96053"/>
    <w:rsid w:val="00E9676F"/>
    <w:rsid w:val="00E978E2"/>
    <w:rsid w:val="00EA008D"/>
    <w:rsid w:val="00EA0334"/>
    <w:rsid w:val="00EA034C"/>
    <w:rsid w:val="00EA0456"/>
    <w:rsid w:val="00EA0778"/>
    <w:rsid w:val="00EA09EF"/>
    <w:rsid w:val="00EA0DE8"/>
    <w:rsid w:val="00EA11D7"/>
    <w:rsid w:val="00EA1442"/>
    <w:rsid w:val="00EA14BF"/>
    <w:rsid w:val="00EA289B"/>
    <w:rsid w:val="00EA28D9"/>
    <w:rsid w:val="00EA33A3"/>
    <w:rsid w:val="00EA33E6"/>
    <w:rsid w:val="00EA3F78"/>
    <w:rsid w:val="00EA4131"/>
    <w:rsid w:val="00EA414B"/>
    <w:rsid w:val="00EA4170"/>
    <w:rsid w:val="00EA476F"/>
    <w:rsid w:val="00EA4DB3"/>
    <w:rsid w:val="00EA51B7"/>
    <w:rsid w:val="00EA569A"/>
    <w:rsid w:val="00EA5ED7"/>
    <w:rsid w:val="00EA6A97"/>
    <w:rsid w:val="00EA6D23"/>
    <w:rsid w:val="00EA7225"/>
    <w:rsid w:val="00EA7929"/>
    <w:rsid w:val="00EA7C44"/>
    <w:rsid w:val="00EA7DB1"/>
    <w:rsid w:val="00EB0258"/>
    <w:rsid w:val="00EB0CFF"/>
    <w:rsid w:val="00EB1392"/>
    <w:rsid w:val="00EB14B2"/>
    <w:rsid w:val="00EB1550"/>
    <w:rsid w:val="00EB1FEB"/>
    <w:rsid w:val="00EB21DB"/>
    <w:rsid w:val="00EB231E"/>
    <w:rsid w:val="00EB2891"/>
    <w:rsid w:val="00EB33ED"/>
    <w:rsid w:val="00EB3E92"/>
    <w:rsid w:val="00EB3F49"/>
    <w:rsid w:val="00EB43B1"/>
    <w:rsid w:val="00EB43B9"/>
    <w:rsid w:val="00EB4462"/>
    <w:rsid w:val="00EB46A1"/>
    <w:rsid w:val="00EB4FCB"/>
    <w:rsid w:val="00EB514F"/>
    <w:rsid w:val="00EB6518"/>
    <w:rsid w:val="00EB6AC4"/>
    <w:rsid w:val="00EB7507"/>
    <w:rsid w:val="00EB79BE"/>
    <w:rsid w:val="00EB7A72"/>
    <w:rsid w:val="00EB7BAB"/>
    <w:rsid w:val="00EB7C27"/>
    <w:rsid w:val="00EB7C45"/>
    <w:rsid w:val="00EB7DCD"/>
    <w:rsid w:val="00EB7EB1"/>
    <w:rsid w:val="00EC0917"/>
    <w:rsid w:val="00EC1082"/>
    <w:rsid w:val="00EC10BD"/>
    <w:rsid w:val="00EC1181"/>
    <w:rsid w:val="00EC21EB"/>
    <w:rsid w:val="00EC22BF"/>
    <w:rsid w:val="00EC2C23"/>
    <w:rsid w:val="00EC3023"/>
    <w:rsid w:val="00EC3416"/>
    <w:rsid w:val="00EC38F9"/>
    <w:rsid w:val="00EC40E6"/>
    <w:rsid w:val="00EC43A4"/>
    <w:rsid w:val="00EC57B5"/>
    <w:rsid w:val="00EC5B25"/>
    <w:rsid w:val="00EC5BA6"/>
    <w:rsid w:val="00EC5C63"/>
    <w:rsid w:val="00EC6168"/>
    <w:rsid w:val="00EC70A8"/>
    <w:rsid w:val="00EC70E6"/>
    <w:rsid w:val="00EC714E"/>
    <w:rsid w:val="00EC7183"/>
    <w:rsid w:val="00EC71CE"/>
    <w:rsid w:val="00EC7BA0"/>
    <w:rsid w:val="00EC7CD4"/>
    <w:rsid w:val="00ED00E8"/>
    <w:rsid w:val="00ED0737"/>
    <w:rsid w:val="00ED0A00"/>
    <w:rsid w:val="00ED0DE6"/>
    <w:rsid w:val="00ED120F"/>
    <w:rsid w:val="00ED1466"/>
    <w:rsid w:val="00ED1A36"/>
    <w:rsid w:val="00ED1BA0"/>
    <w:rsid w:val="00ED1DB9"/>
    <w:rsid w:val="00ED1FC5"/>
    <w:rsid w:val="00ED21D4"/>
    <w:rsid w:val="00ED2900"/>
    <w:rsid w:val="00ED2942"/>
    <w:rsid w:val="00ED2A7F"/>
    <w:rsid w:val="00ED301F"/>
    <w:rsid w:val="00ED31D7"/>
    <w:rsid w:val="00ED3391"/>
    <w:rsid w:val="00ED39DF"/>
    <w:rsid w:val="00ED3AC8"/>
    <w:rsid w:val="00ED4AFB"/>
    <w:rsid w:val="00ED4C89"/>
    <w:rsid w:val="00ED4E42"/>
    <w:rsid w:val="00ED5315"/>
    <w:rsid w:val="00ED54BC"/>
    <w:rsid w:val="00ED679F"/>
    <w:rsid w:val="00ED67CD"/>
    <w:rsid w:val="00ED6BE8"/>
    <w:rsid w:val="00ED70DF"/>
    <w:rsid w:val="00ED7AEB"/>
    <w:rsid w:val="00EE03A4"/>
    <w:rsid w:val="00EE0633"/>
    <w:rsid w:val="00EE09AE"/>
    <w:rsid w:val="00EE0CB4"/>
    <w:rsid w:val="00EE0D7B"/>
    <w:rsid w:val="00EE0DA7"/>
    <w:rsid w:val="00EE0F10"/>
    <w:rsid w:val="00EE133C"/>
    <w:rsid w:val="00EE2670"/>
    <w:rsid w:val="00EE2E85"/>
    <w:rsid w:val="00EE34A7"/>
    <w:rsid w:val="00EE370B"/>
    <w:rsid w:val="00EE3B94"/>
    <w:rsid w:val="00EE3C29"/>
    <w:rsid w:val="00EE3C71"/>
    <w:rsid w:val="00EE4431"/>
    <w:rsid w:val="00EE4A3F"/>
    <w:rsid w:val="00EE5893"/>
    <w:rsid w:val="00EE604A"/>
    <w:rsid w:val="00EE69B4"/>
    <w:rsid w:val="00EE69F4"/>
    <w:rsid w:val="00EE6A1D"/>
    <w:rsid w:val="00EE6B40"/>
    <w:rsid w:val="00EE6BFB"/>
    <w:rsid w:val="00EE6E37"/>
    <w:rsid w:val="00EE6FAC"/>
    <w:rsid w:val="00EE70ED"/>
    <w:rsid w:val="00EE7D06"/>
    <w:rsid w:val="00EE7E40"/>
    <w:rsid w:val="00EF058D"/>
    <w:rsid w:val="00EF063A"/>
    <w:rsid w:val="00EF07B2"/>
    <w:rsid w:val="00EF0DB9"/>
    <w:rsid w:val="00EF0F73"/>
    <w:rsid w:val="00EF1A09"/>
    <w:rsid w:val="00EF1AE9"/>
    <w:rsid w:val="00EF1BE6"/>
    <w:rsid w:val="00EF1E46"/>
    <w:rsid w:val="00EF2847"/>
    <w:rsid w:val="00EF363E"/>
    <w:rsid w:val="00EF3BC2"/>
    <w:rsid w:val="00EF3CBA"/>
    <w:rsid w:val="00EF3CDB"/>
    <w:rsid w:val="00EF3DBB"/>
    <w:rsid w:val="00EF3E75"/>
    <w:rsid w:val="00EF4409"/>
    <w:rsid w:val="00EF467D"/>
    <w:rsid w:val="00EF474F"/>
    <w:rsid w:val="00EF548F"/>
    <w:rsid w:val="00EF559E"/>
    <w:rsid w:val="00EF5A9D"/>
    <w:rsid w:val="00EF5D3D"/>
    <w:rsid w:val="00EF6137"/>
    <w:rsid w:val="00EF6194"/>
    <w:rsid w:val="00EF6DD5"/>
    <w:rsid w:val="00EF70A3"/>
    <w:rsid w:val="00EF7653"/>
    <w:rsid w:val="00EF7F94"/>
    <w:rsid w:val="00F01488"/>
    <w:rsid w:val="00F01B6E"/>
    <w:rsid w:val="00F02228"/>
    <w:rsid w:val="00F023C3"/>
    <w:rsid w:val="00F02CF9"/>
    <w:rsid w:val="00F02F66"/>
    <w:rsid w:val="00F0313E"/>
    <w:rsid w:val="00F03680"/>
    <w:rsid w:val="00F0378E"/>
    <w:rsid w:val="00F03D4F"/>
    <w:rsid w:val="00F04041"/>
    <w:rsid w:val="00F04049"/>
    <w:rsid w:val="00F044A3"/>
    <w:rsid w:val="00F04702"/>
    <w:rsid w:val="00F05D28"/>
    <w:rsid w:val="00F06065"/>
    <w:rsid w:val="00F06816"/>
    <w:rsid w:val="00F06EDE"/>
    <w:rsid w:val="00F072B4"/>
    <w:rsid w:val="00F075B6"/>
    <w:rsid w:val="00F07A6F"/>
    <w:rsid w:val="00F07BC9"/>
    <w:rsid w:val="00F07E03"/>
    <w:rsid w:val="00F07F52"/>
    <w:rsid w:val="00F1091F"/>
    <w:rsid w:val="00F10D39"/>
    <w:rsid w:val="00F1191E"/>
    <w:rsid w:val="00F11BCC"/>
    <w:rsid w:val="00F122F4"/>
    <w:rsid w:val="00F123FE"/>
    <w:rsid w:val="00F12908"/>
    <w:rsid w:val="00F1295E"/>
    <w:rsid w:val="00F13300"/>
    <w:rsid w:val="00F138EF"/>
    <w:rsid w:val="00F140F5"/>
    <w:rsid w:val="00F140F7"/>
    <w:rsid w:val="00F141CB"/>
    <w:rsid w:val="00F14441"/>
    <w:rsid w:val="00F14528"/>
    <w:rsid w:val="00F14564"/>
    <w:rsid w:val="00F14F70"/>
    <w:rsid w:val="00F151CB"/>
    <w:rsid w:val="00F15643"/>
    <w:rsid w:val="00F15BC1"/>
    <w:rsid w:val="00F15C44"/>
    <w:rsid w:val="00F160FA"/>
    <w:rsid w:val="00F16178"/>
    <w:rsid w:val="00F17847"/>
    <w:rsid w:val="00F20274"/>
    <w:rsid w:val="00F2091A"/>
    <w:rsid w:val="00F20AFD"/>
    <w:rsid w:val="00F21B73"/>
    <w:rsid w:val="00F2235D"/>
    <w:rsid w:val="00F2246A"/>
    <w:rsid w:val="00F22842"/>
    <w:rsid w:val="00F24B61"/>
    <w:rsid w:val="00F2502E"/>
    <w:rsid w:val="00F25739"/>
    <w:rsid w:val="00F25FD2"/>
    <w:rsid w:val="00F2632A"/>
    <w:rsid w:val="00F264E0"/>
    <w:rsid w:val="00F275B8"/>
    <w:rsid w:val="00F27FD6"/>
    <w:rsid w:val="00F30B51"/>
    <w:rsid w:val="00F30FF5"/>
    <w:rsid w:val="00F311A5"/>
    <w:rsid w:val="00F31300"/>
    <w:rsid w:val="00F320D2"/>
    <w:rsid w:val="00F32381"/>
    <w:rsid w:val="00F324C4"/>
    <w:rsid w:val="00F32587"/>
    <w:rsid w:val="00F32FF0"/>
    <w:rsid w:val="00F33486"/>
    <w:rsid w:val="00F3360B"/>
    <w:rsid w:val="00F3362E"/>
    <w:rsid w:val="00F3374E"/>
    <w:rsid w:val="00F337DD"/>
    <w:rsid w:val="00F33977"/>
    <w:rsid w:val="00F33CFA"/>
    <w:rsid w:val="00F33D44"/>
    <w:rsid w:val="00F33D7A"/>
    <w:rsid w:val="00F3428F"/>
    <w:rsid w:val="00F34E7C"/>
    <w:rsid w:val="00F3523F"/>
    <w:rsid w:val="00F357DD"/>
    <w:rsid w:val="00F35D97"/>
    <w:rsid w:val="00F35E5C"/>
    <w:rsid w:val="00F35EFB"/>
    <w:rsid w:val="00F3605D"/>
    <w:rsid w:val="00F360C7"/>
    <w:rsid w:val="00F37523"/>
    <w:rsid w:val="00F40495"/>
    <w:rsid w:val="00F40F7D"/>
    <w:rsid w:val="00F41680"/>
    <w:rsid w:val="00F416EB"/>
    <w:rsid w:val="00F41AD3"/>
    <w:rsid w:val="00F426BF"/>
    <w:rsid w:val="00F42714"/>
    <w:rsid w:val="00F42B10"/>
    <w:rsid w:val="00F42CCD"/>
    <w:rsid w:val="00F42CD4"/>
    <w:rsid w:val="00F4376A"/>
    <w:rsid w:val="00F43CB6"/>
    <w:rsid w:val="00F43CDE"/>
    <w:rsid w:val="00F43DD7"/>
    <w:rsid w:val="00F43E0E"/>
    <w:rsid w:val="00F4496D"/>
    <w:rsid w:val="00F44AEB"/>
    <w:rsid w:val="00F44CB0"/>
    <w:rsid w:val="00F44D01"/>
    <w:rsid w:val="00F44DC3"/>
    <w:rsid w:val="00F4504D"/>
    <w:rsid w:val="00F451C9"/>
    <w:rsid w:val="00F4529A"/>
    <w:rsid w:val="00F46010"/>
    <w:rsid w:val="00F4604A"/>
    <w:rsid w:val="00F461DC"/>
    <w:rsid w:val="00F46444"/>
    <w:rsid w:val="00F46932"/>
    <w:rsid w:val="00F46B97"/>
    <w:rsid w:val="00F47380"/>
    <w:rsid w:val="00F500EC"/>
    <w:rsid w:val="00F5018B"/>
    <w:rsid w:val="00F5023E"/>
    <w:rsid w:val="00F506C6"/>
    <w:rsid w:val="00F50B6E"/>
    <w:rsid w:val="00F51201"/>
    <w:rsid w:val="00F51C1B"/>
    <w:rsid w:val="00F5281B"/>
    <w:rsid w:val="00F53490"/>
    <w:rsid w:val="00F53F08"/>
    <w:rsid w:val="00F54156"/>
    <w:rsid w:val="00F541BD"/>
    <w:rsid w:val="00F543FA"/>
    <w:rsid w:val="00F546EC"/>
    <w:rsid w:val="00F54A96"/>
    <w:rsid w:val="00F5501D"/>
    <w:rsid w:val="00F55361"/>
    <w:rsid w:val="00F553AC"/>
    <w:rsid w:val="00F556ED"/>
    <w:rsid w:val="00F55E72"/>
    <w:rsid w:val="00F56171"/>
    <w:rsid w:val="00F56644"/>
    <w:rsid w:val="00F56A84"/>
    <w:rsid w:val="00F56B1F"/>
    <w:rsid w:val="00F5707C"/>
    <w:rsid w:val="00F572DD"/>
    <w:rsid w:val="00F579B5"/>
    <w:rsid w:val="00F579F9"/>
    <w:rsid w:val="00F57ABD"/>
    <w:rsid w:val="00F600F2"/>
    <w:rsid w:val="00F60336"/>
    <w:rsid w:val="00F607EE"/>
    <w:rsid w:val="00F60DC0"/>
    <w:rsid w:val="00F614B2"/>
    <w:rsid w:val="00F61BC9"/>
    <w:rsid w:val="00F628E3"/>
    <w:rsid w:val="00F62DBD"/>
    <w:rsid w:val="00F62E11"/>
    <w:rsid w:val="00F63653"/>
    <w:rsid w:val="00F636E8"/>
    <w:rsid w:val="00F63EF0"/>
    <w:rsid w:val="00F6417D"/>
    <w:rsid w:val="00F6450D"/>
    <w:rsid w:val="00F64912"/>
    <w:rsid w:val="00F64A1D"/>
    <w:rsid w:val="00F64AFB"/>
    <w:rsid w:val="00F6562A"/>
    <w:rsid w:val="00F663D4"/>
    <w:rsid w:val="00F67192"/>
    <w:rsid w:val="00F6748F"/>
    <w:rsid w:val="00F67997"/>
    <w:rsid w:val="00F67AAE"/>
    <w:rsid w:val="00F70115"/>
    <w:rsid w:val="00F7032D"/>
    <w:rsid w:val="00F71FAD"/>
    <w:rsid w:val="00F7270F"/>
    <w:rsid w:val="00F7282F"/>
    <w:rsid w:val="00F72EAE"/>
    <w:rsid w:val="00F734DC"/>
    <w:rsid w:val="00F737FD"/>
    <w:rsid w:val="00F73E2F"/>
    <w:rsid w:val="00F74252"/>
    <w:rsid w:val="00F7460D"/>
    <w:rsid w:val="00F74D7C"/>
    <w:rsid w:val="00F75215"/>
    <w:rsid w:val="00F75307"/>
    <w:rsid w:val="00F7574C"/>
    <w:rsid w:val="00F75C2C"/>
    <w:rsid w:val="00F7665F"/>
    <w:rsid w:val="00F76A5E"/>
    <w:rsid w:val="00F76A83"/>
    <w:rsid w:val="00F7761A"/>
    <w:rsid w:val="00F776EB"/>
    <w:rsid w:val="00F80C20"/>
    <w:rsid w:val="00F8101E"/>
    <w:rsid w:val="00F813D4"/>
    <w:rsid w:val="00F82753"/>
    <w:rsid w:val="00F82CE6"/>
    <w:rsid w:val="00F8317C"/>
    <w:rsid w:val="00F831CE"/>
    <w:rsid w:val="00F83935"/>
    <w:rsid w:val="00F83A81"/>
    <w:rsid w:val="00F83F93"/>
    <w:rsid w:val="00F846B6"/>
    <w:rsid w:val="00F850D3"/>
    <w:rsid w:val="00F85705"/>
    <w:rsid w:val="00F85B55"/>
    <w:rsid w:val="00F866E8"/>
    <w:rsid w:val="00F8737C"/>
    <w:rsid w:val="00F87453"/>
    <w:rsid w:val="00F876E2"/>
    <w:rsid w:val="00F877B6"/>
    <w:rsid w:val="00F87E49"/>
    <w:rsid w:val="00F87EB2"/>
    <w:rsid w:val="00F90458"/>
    <w:rsid w:val="00F9064D"/>
    <w:rsid w:val="00F90966"/>
    <w:rsid w:val="00F90BBF"/>
    <w:rsid w:val="00F911B8"/>
    <w:rsid w:val="00F91633"/>
    <w:rsid w:val="00F91899"/>
    <w:rsid w:val="00F918C9"/>
    <w:rsid w:val="00F91A55"/>
    <w:rsid w:val="00F91C07"/>
    <w:rsid w:val="00F920BC"/>
    <w:rsid w:val="00F926C4"/>
    <w:rsid w:val="00F92C1E"/>
    <w:rsid w:val="00F9356B"/>
    <w:rsid w:val="00F936A6"/>
    <w:rsid w:val="00F93B90"/>
    <w:rsid w:val="00F93D2D"/>
    <w:rsid w:val="00F94390"/>
    <w:rsid w:val="00F95162"/>
    <w:rsid w:val="00F9563D"/>
    <w:rsid w:val="00F95E6A"/>
    <w:rsid w:val="00F95EBE"/>
    <w:rsid w:val="00F9645B"/>
    <w:rsid w:val="00F96CC4"/>
    <w:rsid w:val="00F9706F"/>
    <w:rsid w:val="00F975F0"/>
    <w:rsid w:val="00F97753"/>
    <w:rsid w:val="00F977A4"/>
    <w:rsid w:val="00F97E3B"/>
    <w:rsid w:val="00F97E48"/>
    <w:rsid w:val="00FA02F6"/>
    <w:rsid w:val="00FA0346"/>
    <w:rsid w:val="00FA0D65"/>
    <w:rsid w:val="00FA0E61"/>
    <w:rsid w:val="00FA1283"/>
    <w:rsid w:val="00FA2699"/>
    <w:rsid w:val="00FA285A"/>
    <w:rsid w:val="00FA2A98"/>
    <w:rsid w:val="00FA2E6A"/>
    <w:rsid w:val="00FA2FA2"/>
    <w:rsid w:val="00FA30BB"/>
    <w:rsid w:val="00FA311F"/>
    <w:rsid w:val="00FA32C6"/>
    <w:rsid w:val="00FA37B0"/>
    <w:rsid w:val="00FA49CA"/>
    <w:rsid w:val="00FA4DF9"/>
    <w:rsid w:val="00FA5129"/>
    <w:rsid w:val="00FA543C"/>
    <w:rsid w:val="00FA57D8"/>
    <w:rsid w:val="00FA5A87"/>
    <w:rsid w:val="00FA6963"/>
    <w:rsid w:val="00FA6A6C"/>
    <w:rsid w:val="00FA7553"/>
    <w:rsid w:val="00FA79D5"/>
    <w:rsid w:val="00FB067F"/>
    <w:rsid w:val="00FB07E8"/>
    <w:rsid w:val="00FB0DC0"/>
    <w:rsid w:val="00FB1ADA"/>
    <w:rsid w:val="00FB1E5D"/>
    <w:rsid w:val="00FB21BD"/>
    <w:rsid w:val="00FB29AD"/>
    <w:rsid w:val="00FB338C"/>
    <w:rsid w:val="00FB3A88"/>
    <w:rsid w:val="00FB41F8"/>
    <w:rsid w:val="00FB42D7"/>
    <w:rsid w:val="00FB4F18"/>
    <w:rsid w:val="00FB506F"/>
    <w:rsid w:val="00FB58E2"/>
    <w:rsid w:val="00FB5C1C"/>
    <w:rsid w:val="00FB5D3C"/>
    <w:rsid w:val="00FB69BD"/>
    <w:rsid w:val="00FB70E9"/>
    <w:rsid w:val="00FB71C7"/>
    <w:rsid w:val="00FB7351"/>
    <w:rsid w:val="00FB7668"/>
    <w:rsid w:val="00FB786E"/>
    <w:rsid w:val="00FB79E3"/>
    <w:rsid w:val="00FB7B77"/>
    <w:rsid w:val="00FC00AC"/>
    <w:rsid w:val="00FC0149"/>
    <w:rsid w:val="00FC068D"/>
    <w:rsid w:val="00FC0D58"/>
    <w:rsid w:val="00FC0D9D"/>
    <w:rsid w:val="00FC1234"/>
    <w:rsid w:val="00FC1646"/>
    <w:rsid w:val="00FC1DCD"/>
    <w:rsid w:val="00FC2808"/>
    <w:rsid w:val="00FC2C41"/>
    <w:rsid w:val="00FC32F0"/>
    <w:rsid w:val="00FC33F0"/>
    <w:rsid w:val="00FC3BA6"/>
    <w:rsid w:val="00FC3E1B"/>
    <w:rsid w:val="00FC3E69"/>
    <w:rsid w:val="00FC4C60"/>
    <w:rsid w:val="00FC4F9A"/>
    <w:rsid w:val="00FC5793"/>
    <w:rsid w:val="00FC5C99"/>
    <w:rsid w:val="00FC5DCF"/>
    <w:rsid w:val="00FC755D"/>
    <w:rsid w:val="00FC7948"/>
    <w:rsid w:val="00FC7C03"/>
    <w:rsid w:val="00FC7FD1"/>
    <w:rsid w:val="00FD1F1A"/>
    <w:rsid w:val="00FD2197"/>
    <w:rsid w:val="00FD221C"/>
    <w:rsid w:val="00FD315B"/>
    <w:rsid w:val="00FD3185"/>
    <w:rsid w:val="00FD423F"/>
    <w:rsid w:val="00FD4BC2"/>
    <w:rsid w:val="00FD4DFA"/>
    <w:rsid w:val="00FD4E13"/>
    <w:rsid w:val="00FD530B"/>
    <w:rsid w:val="00FD62F4"/>
    <w:rsid w:val="00FD6333"/>
    <w:rsid w:val="00FD7818"/>
    <w:rsid w:val="00FD7EA8"/>
    <w:rsid w:val="00FE03C9"/>
    <w:rsid w:val="00FE052A"/>
    <w:rsid w:val="00FE08E8"/>
    <w:rsid w:val="00FE27E7"/>
    <w:rsid w:val="00FE27ED"/>
    <w:rsid w:val="00FE2D89"/>
    <w:rsid w:val="00FE3880"/>
    <w:rsid w:val="00FE3B2A"/>
    <w:rsid w:val="00FE3C17"/>
    <w:rsid w:val="00FE4532"/>
    <w:rsid w:val="00FE45CE"/>
    <w:rsid w:val="00FE4BF3"/>
    <w:rsid w:val="00FE51FB"/>
    <w:rsid w:val="00FE547B"/>
    <w:rsid w:val="00FE5816"/>
    <w:rsid w:val="00FE604A"/>
    <w:rsid w:val="00FE6CF2"/>
    <w:rsid w:val="00FE7241"/>
    <w:rsid w:val="00FE775F"/>
    <w:rsid w:val="00FE776E"/>
    <w:rsid w:val="00FF0176"/>
    <w:rsid w:val="00FF0A81"/>
    <w:rsid w:val="00FF1149"/>
    <w:rsid w:val="00FF129C"/>
    <w:rsid w:val="00FF1582"/>
    <w:rsid w:val="00FF187A"/>
    <w:rsid w:val="00FF2283"/>
    <w:rsid w:val="00FF22FC"/>
    <w:rsid w:val="00FF2C16"/>
    <w:rsid w:val="00FF44AF"/>
    <w:rsid w:val="00FF4E66"/>
    <w:rsid w:val="00FF530C"/>
    <w:rsid w:val="00FF544B"/>
    <w:rsid w:val="00FF54EC"/>
    <w:rsid w:val="00FF5A43"/>
    <w:rsid w:val="00FF5CC8"/>
    <w:rsid w:val="00FF5EE6"/>
    <w:rsid w:val="00FF5F98"/>
    <w:rsid w:val="00FF6249"/>
    <w:rsid w:val="00FF6360"/>
    <w:rsid w:val="00FF669A"/>
    <w:rsid w:val="00FF7674"/>
    <w:rsid w:val="00FF77CB"/>
    <w:rsid w:val="00FF7B18"/>
    <w:rsid w:val="00FF7B58"/>
    <w:rsid w:val="00FF7BAC"/>
    <w:rsid w:val="00FF7E5A"/>
    <w:rsid w:val="010B7642"/>
    <w:rsid w:val="010D427B"/>
    <w:rsid w:val="01187BCE"/>
    <w:rsid w:val="012670EA"/>
    <w:rsid w:val="0139540B"/>
    <w:rsid w:val="01634DAD"/>
    <w:rsid w:val="017F7D02"/>
    <w:rsid w:val="018067FB"/>
    <w:rsid w:val="01A00C4B"/>
    <w:rsid w:val="01A050EF"/>
    <w:rsid w:val="01E23011"/>
    <w:rsid w:val="020B679E"/>
    <w:rsid w:val="02211BAE"/>
    <w:rsid w:val="02225B04"/>
    <w:rsid w:val="02293943"/>
    <w:rsid w:val="02435763"/>
    <w:rsid w:val="02455D89"/>
    <w:rsid w:val="02867093"/>
    <w:rsid w:val="029937F8"/>
    <w:rsid w:val="02AD1393"/>
    <w:rsid w:val="02C80F58"/>
    <w:rsid w:val="02D1729F"/>
    <w:rsid w:val="02E57877"/>
    <w:rsid w:val="03016755"/>
    <w:rsid w:val="035324EB"/>
    <w:rsid w:val="03553D79"/>
    <w:rsid w:val="0373691E"/>
    <w:rsid w:val="03740A5A"/>
    <w:rsid w:val="03962465"/>
    <w:rsid w:val="03A66E23"/>
    <w:rsid w:val="03B101BE"/>
    <w:rsid w:val="03D96696"/>
    <w:rsid w:val="03E1604E"/>
    <w:rsid w:val="040657CA"/>
    <w:rsid w:val="044E388D"/>
    <w:rsid w:val="04532D85"/>
    <w:rsid w:val="04783517"/>
    <w:rsid w:val="047A3787"/>
    <w:rsid w:val="049B3B03"/>
    <w:rsid w:val="04A17B05"/>
    <w:rsid w:val="04A24CDA"/>
    <w:rsid w:val="04F90B5B"/>
    <w:rsid w:val="05185CD5"/>
    <w:rsid w:val="05204DDB"/>
    <w:rsid w:val="0521452F"/>
    <w:rsid w:val="055F2BCB"/>
    <w:rsid w:val="05600D61"/>
    <w:rsid w:val="05976D60"/>
    <w:rsid w:val="05A409F6"/>
    <w:rsid w:val="05A52CD4"/>
    <w:rsid w:val="05A850FD"/>
    <w:rsid w:val="05C8568A"/>
    <w:rsid w:val="05D37964"/>
    <w:rsid w:val="05E27A84"/>
    <w:rsid w:val="05ED6429"/>
    <w:rsid w:val="05FA7288"/>
    <w:rsid w:val="060519C4"/>
    <w:rsid w:val="064549BD"/>
    <w:rsid w:val="067A781D"/>
    <w:rsid w:val="069953E1"/>
    <w:rsid w:val="06B026A2"/>
    <w:rsid w:val="06B538F4"/>
    <w:rsid w:val="06BD6180"/>
    <w:rsid w:val="06C90C44"/>
    <w:rsid w:val="07203BAE"/>
    <w:rsid w:val="072220BA"/>
    <w:rsid w:val="07223BAD"/>
    <w:rsid w:val="07223BB5"/>
    <w:rsid w:val="073F0F06"/>
    <w:rsid w:val="074849DB"/>
    <w:rsid w:val="074F5BE1"/>
    <w:rsid w:val="0766035D"/>
    <w:rsid w:val="07B13291"/>
    <w:rsid w:val="07B23486"/>
    <w:rsid w:val="07BE007D"/>
    <w:rsid w:val="07C55551"/>
    <w:rsid w:val="07D7113E"/>
    <w:rsid w:val="07D802C0"/>
    <w:rsid w:val="07E22BA6"/>
    <w:rsid w:val="08017F69"/>
    <w:rsid w:val="08251EAA"/>
    <w:rsid w:val="082C1351"/>
    <w:rsid w:val="08344079"/>
    <w:rsid w:val="083B16CD"/>
    <w:rsid w:val="08433CA6"/>
    <w:rsid w:val="08493DEA"/>
    <w:rsid w:val="08617334"/>
    <w:rsid w:val="089F4502"/>
    <w:rsid w:val="08B73DC9"/>
    <w:rsid w:val="08BD44F2"/>
    <w:rsid w:val="08C07E24"/>
    <w:rsid w:val="08D35DAA"/>
    <w:rsid w:val="08D37B58"/>
    <w:rsid w:val="08E372A8"/>
    <w:rsid w:val="08EC0C19"/>
    <w:rsid w:val="08EE04EE"/>
    <w:rsid w:val="091E5277"/>
    <w:rsid w:val="092A7AD4"/>
    <w:rsid w:val="092D0B2E"/>
    <w:rsid w:val="09594501"/>
    <w:rsid w:val="09684744"/>
    <w:rsid w:val="097035F9"/>
    <w:rsid w:val="097F44B4"/>
    <w:rsid w:val="099948FD"/>
    <w:rsid w:val="09A23AD6"/>
    <w:rsid w:val="09B36A35"/>
    <w:rsid w:val="09BE30E6"/>
    <w:rsid w:val="09FE2A25"/>
    <w:rsid w:val="0A053D41"/>
    <w:rsid w:val="0A0B76BF"/>
    <w:rsid w:val="0A161583"/>
    <w:rsid w:val="0A2A7C4B"/>
    <w:rsid w:val="0A3039B1"/>
    <w:rsid w:val="0A514329"/>
    <w:rsid w:val="0A615078"/>
    <w:rsid w:val="0A696248"/>
    <w:rsid w:val="0AE235A4"/>
    <w:rsid w:val="0B002E5D"/>
    <w:rsid w:val="0B04224A"/>
    <w:rsid w:val="0B062F91"/>
    <w:rsid w:val="0B0F304E"/>
    <w:rsid w:val="0B143D7D"/>
    <w:rsid w:val="0B1B7594"/>
    <w:rsid w:val="0B20565E"/>
    <w:rsid w:val="0B5D1E7F"/>
    <w:rsid w:val="0B635D6A"/>
    <w:rsid w:val="0B762725"/>
    <w:rsid w:val="0B807457"/>
    <w:rsid w:val="0B9B661D"/>
    <w:rsid w:val="0BA852CC"/>
    <w:rsid w:val="0BB772BD"/>
    <w:rsid w:val="0BC345CF"/>
    <w:rsid w:val="0BF57DE5"/>
    <w:rsid w:val="0C0F6F17"/>
    <w:rsid w:val="0C103293"/>
    <w:rsid w:val="0C2612A0"/>
    <w:rsid w:val="0C34090B"/>
    <w:rsid w:val="0C454DEB"/>
    <w:rsid w:val="0C5B233E"/>
    <w:rsid w:val="0C6A3DE0"/>
    <w:rsid w:val="0C6C2452"/>
    <w:rsid w:val="0C760F26"/>
    <w:rsid w:val="0C9327B6"/>
    <w:rsid w:val="0C9758B9"/>
    <w:rsid w:val="0CA2214E"/>
    <w:rsid w:val="0CC76F66"/>
    <w:rsid w:val="0CC779D3"/>
    <w:rsid w:val="0CCA74C4"/>
    <w:rsid w:val="0CCE0023"/>
    <w:rsid w:val="0CEE1455"/>
    <w:rsid w:val="0CF445AA"/>
    <w:rsid w:val="0D074274"/>
    <w:rsid w:val="0D0E5602"/>
    <w:rsid w:val="0D1150F2"/>
    <w:rsid w:val="0D2C7836"/>
    <w:rsid w:val="0D391DAF"/>
    <w:rsid w:val="0D3B4051"/>
    <w:rsid w:val="0D3C7DAF"/>
    <w:rsid w:val="0D810DF7"/>
    <w:rsid w:val="0DA67DDF"/>
    <w:rsid w:val="0DC1531D"/>
    <w:rsid w:val="0DC65EDD"/>
    <w:rsid w:val="0DC832B2"/>
    <w:rsid w:val="0DD30098"/>
    <w:rsid w:val="0DDD6D83"/>
    <w:rsid w:val="0DED6FC6"/>
    <w:rsid w:val="0DF14750"/>
    <w:rsid w:val="0DF5231E"/>
    <w:rsid w:val="0E190991"/>
    <w:rsid w:val="0E1A3CF1"/>
    <w:rsid w:val="0E4136CA"/>
    <w:rsid w:val="0E43752E"/>
    <w:rsid w:val="0E454D40"/>
    <w:rsid w:val="0E5C414B"/>
    <w:rsid w:val="0E8042DE"/>
    <w:rsid w:val="0E8C0456"/>
    <w:rsid w:val="0EBE4E06"/>
    <w:rsid w:val="0ED2711C"/>
    <w:rsid w:val="0EE02FCE"/>
    <w:rsid w:val="0EE509C2"/>
    <w:rsid w:val="0EFF16A6"/>
    <w:rsid w:val="0F08152B"/>
    <w:rsid w:val="0F0A1DF9"/>
    <w:rsid w:val="0F0A3BA7"/>
    <w:rsid w:val="0F1A01B7"/>
    <w:rsid w:val="0F406DD3"/>
    <w:rsid w:val="0F4B7851"/>
    <w:rsid w:val="0F720AA2"/>
    <w:rsid w:val="0FAE6C29"/>
    <w:rsid w:val="0FC14BAE"/>
    <w:rsid w:val="0FDD306A"/>
    <w:rsid w:val="0FF829AC"/>
    <w:rsid w:val="1015675B"/>
    <w:rsid w:val="10164B03"/>
    <w:rsid w:val="101A10A8"/>
    <w:rsid w:val="10404E12"/>
    <w:rsid w:val="10493E65"/>
    <w:rsid w:val="10502A85"/>
    <w:rsid w:val="105605BF"/>
    <w:rsid w:val="106406E4"/>
    <w:rsid w:val="10731E18"/>
    <w:rsid w:val="10832137"/>
    <w:rsid w:val="10A818CA"/>
    <w:rsid w:val="10BA7D11"/>
    <w:rsid w:val="10C06C14"/>
    <w:rsid w:val="10CD4E26"/>
    <w:rsid w:val="10D426BF"/>
    <w:rsid w:val="10F90464"/>
    <w:rsid w:val="11365128"/>
    <w:rsid w:val="1148195F"/>
    <w:rsid w:val="11531836"/>
    <w:rsid w:val="11535CDA"/>
    <w:rsid w:val="116577BB"/>
    <w:rsid w:val="11800151"/>
    <w:rsid w:val="119A3908"/>
    <w:rsid w:val="11B45DA8"/>
    <w:rsid w:val="11BD2FE3"/>
    <w:rsid w:val="11D40DE0"/>
    <w:rsid w:val="11E76422"/>
    <w:rsid w:val="11EB6EB3"/>
    <w:rsid w:val="11FE2AA3"/>
    <w:rsid w:val="121F4EBE"/>
    <w:rsid w:val="122D652B"/>
    <w:rsid w:val="12647EC4"/>
    <w:rsid w:val="12656D6A"/>
    <w:rsid w:val="1277382E"/>
    <w:rsid w:val="12977E48"/>
    <w:rsid w:val="12AF0AA4"/>
    <w:rsid w:val="12CC2DDB"/>
    <w:rsid w:val="12DA0956"/>
    <w:rsid w:val="12E84200"/>
    <w:rsid w:val="12F508D2"/>
    <w:rsid w:val="13022CEC"/>
    <w:rsid w:val="1308156D"/>
    <w:rsid w:val="131C7569"/>
    <w:rsid w:val="1336140F"/>
    <w:rsid w:val="133E2072"/>
    <w:rsid w:val="138D7D05"/>
    <w:rsid w:val="13961EAE"/>
    <w:rsid w:val="13984D29"/>
    <w:rsid w:val="139D62CF"/>
    <w:rsid w:val="13A445CA"/>
    <w:rsid w:val="13B97EC5"/>
    <w:rsid w:val="13D20B02"/>
    <w:rsid w:val="13DB3D64"/>
    <w:rsid w:val="13F84916"/>
    <w:rsid w:val="140C1889"/>
    <w:rsid w:val="142571A2"/>
    <w:rsid w:val="143A4F2F"/>
    <w:rsid w:val="143D5AD8"/>
    <w:rsid w:val="14441127"/>
    <w:rsid w:val="14535FF1"/>
    <w:rsid w:val="14616E91"/>
    <w:rsid w:val="146321BB"/>
    <w:rsid w:val="14643D5A"/>
    <w:rsid w:val="14A10B0A"/>
    <w:rsid w:val="14A309CC"/>
    <w:rsid w:val="14D30834"/>
    <w:rsid w:val="14ED3D4F"/>
    <w:rsid w:val="14F368AB"/>
    <w:rsid w:val="153E27FD"/>
    <w:rsid w:val="1548367B"/>
    <w:rsid w:val="156264EB"/>
    <w:rsid w:val="15730777"/>
    <w:rsid w:val="15736473"/>
    <w:rsid w:val="1574621E"/>
    <w:rsid w:val="15A22D8C"/>
    <w:rsid w:val="15AF7257"/>
    <w:rsid w:val="15B17473"/>
    <w:rsid w:val="15B65979"/>
    <w:rsid w:val="15CB20BD"/>
    <w:rsid w:val="15FC0DC7"/>
    <w:rsid w:val="160E6673"/>
    <w:rsid w:val="160E7BD1"/>
    <w:rsid w:val="1610119E"/>
    <w:rsid w:val="161A2C9D"/>
    <w:rsid w:val="16223ECC"/>
    <w:rsid w:val="163129CD"/>
    <w:rsid w:val="165B2F3A"/>
    <w:rsid w:val="166D339A"/>
    <w:rsid w:val="16A50497"/>
    <w:rsid w:val="16AB1966"/>
    <w:rsid w:val="16BE3BF5"/>
    <w:rsid w:val="16C17009"/>
    <w:rsid w:val="16D117B5"/>
    <w:rsid w:val="16DC4A14"/>
    <w:rsid w:val="170345EE"/>
    <w:rsid w:val="171A4BA4"/>
    <w:rsid w:val="17343EB7"/>
    <w:rsid w:val="174A5489"/>
    <w:rsid w:val="176C0F1B"/>
    <w:rsid w:val="17725226"/>
    <w:rsid w:val="17757D75"/>
    <w:rsid w:val="177D52C8"/>
    <w:rsid w:val="177F70FC"/>
    <w:rsid w:val="17854713"/>
    <w:rsid w:val="17942BA8"/>
    <w:rsid w:val="17A07045"/>
    <w:rsid w:val="17B5219E"/>
    <w:rsid w:val="17DA2A80"/>
    <w:rsid w:val="17DD00AB"/>
    <w:rsid w:val="17E256F8"/>
    <w:rsid w:val="17EF2CFE"/>
    <w:rsid w:val="1814079D"/>
    <w:rsid w:val="18420856"/>
    <w:rsid w:val="185760AF"/>
    <w:rsid w:val="18794016"/>
    <w:rsid w:val="18A35EC5"/>
    <w:rsid w:val="18AB01A9"/>
    <w:rsid w:val="18B31317"/>
    <w:rsid w:val="18C577EA"/>
    <w:rsid w:val="18E4321D"/>
    <w:rsid w:val="18E56482"/>
    <w:rsid w:val="18EC39AE"/>
    <w:rsid w:val="18F01B03"/>
    <w:rsid w:val="191A70DD"/>
    <w:rsid w:val="19614D0C"/>
    <w:rsid w:val="19884B90"/>
    <w:rsid w:val="198A4263"/>
    <w:rsid w:val="198C53F8"/>
    <w:rsid w:val="199155F1"/>
    <w:rsid w:val="199A2DEE"/>
    <w:rsid w:val="199C5D44"/>
    <w:rsid w:val="19BA663C"/>
    <w:rsid w:val="19BC1F42"/>
    <w:rsid w:val="19C5529B"/>
    <w:rsid w:val="19CE5301"/>
    <w:rsid w:val="19E35721"/>
    <w:rsid w:val="19E5593D"/>
    <w:rsid w:val="19F81081"/>
    <w:rsid w:val="19F87663"/>
    <w:rsid w:val="19FE5574"/>
    <w:rsid w:val="1A0829B9"/>
    <w:rsid w:val="1A24134C"/>
    <w:rsid w:val="1A27385F"/>
    <w:rsid w:val="1A4662CF"/>
    <w:rsid w:val="1A5B6D10"/>
    <w:rsid w:val="1A6A1F83"/>
    <w:rsid w:val="1A8C5DB8"/>
    <w:rsid w:val="1A9644A7"/>
    <w:rsid w:val="1A9D7751"/>
    <w:rsid w:val="1AA47422"/>
    <w:rsid w:val="1AB01AA7"/>
    <w:rsid w:val="1ABA7F1D"/>
    <w:rsid w:val="1AE500A6"/>
    <w:rsid w:val="1AF000F5"/>
    <w:rsid w:val="1AF17E5B"/>
    <w:rsid w:val="1AF57848"/>
    <w:rsid w:val="1B067A5E"/>
    <w:rsid w:val="1B087B35"/>
    <w:rsid w:val="1B0A429C"/>
    <w:rsid w:val="1B223F1A"/>
    <w:rsid w:val="1B46065D"/>
    <w:rsid w:val="1B803787"/>
    <w:rsid w:val="1B8F19C8"/>
    <w:rsid w:val="1BC77097"/>
    <w:rsid w:val="1BDB6FF7"/>
    <w:rsid w:val="1BEA01F2"/>
    <w:rsid w:val="1BEA723A"/>
    <w:rsid w:val="1BF3662A"/>
    <w:rsid w:val="1BF41E67"/>
    <w:rsid w:val="1BFD0D1C"/>
    <w:rsid w:val="1C102AB4"/>
    <w:rsid w:val="1C3D5DDF"/>
    <w:rsid w:val="1C4862D2"/>
    <w:rsid w:val="1C492D57"/>
    <w:rsid w:val="1C550B58"/>
    <w:rsid w:val="1C583173"/>
    <w:rsid w:val="1C5971FC"/>
    <w:rsid w:val="1C662091"/>
    <w:rsid w:val="1C683FA7"/>
    <w:rsid w:val="1C6F5C02"/>
    <w:rsid w:val="1C8C20A0"/>
    <w:rsid w:val="1C8F393E"/>
    <w:rsid w:val="1C9A47BD"/>
    <w:rsid w:val="1C9E77E8"/>
    <w:rsid w:val="1CA0088A"/>
    <w:rsid w:val="1CC21F65"/>
    <w:rsid w:val="1CDA72AF"/>
    <w:rsid w:val="1CE02090"/>
    <w:rsid w:val="1CF739BD"/>
    <w:rsid w:val="1D0625C0"/>
    <w:rsid w:val="1D0B1216"/>
    <w:rsid w:val="1D1562EE"/>
    <w:rsid w:val="1D540E0F"/>
    <w:rsid w:val="1D5B60DB"/>
    <w:rsid w:val="1DC064A5"/>
    <w:rsid w:val="1DD64AED"/>
    <w:rsid w:val="1E192DA5"/>
    <w:rsid w:val="1E1B7B7F"/>
    <w:rsid w:val="1E223D4C"/>
    <w:rsid w:val="1E407A47"/>
    <w:rsid w:val="1E6C0104"/>
    <w:rsid w:val="1E917339"/>
    <w:rsid w:val="1E9D2342"/>
    <w:rsid w:val="1EC06494"/>
    <w:rsid w:val="1ED00720"/>
    <w:rsid w:val="1EDA3596"/>
    <w:rsid w:val="1EF729D5"/>
    <w:rsid w:val="1EFB350D"/>
    <w:rsid w:val="1F026344"/>
    <w:rsid w:val="1F15475E"/>
    <w:rsid w:val="1F3D3B25"/>
    <w:rsid w:val="1F4C5B16"/>
    <w:rsid w:val="1F6E7612"/>
    <w:rsid w:val="1F9C7784"/>
    <w:rsid w:val="1F9E45C4"/>
    <w:rsid w:val="1FBA687F"/>
    <w:rsid w:val="1FBE1E90"/>
    <w:rsid w:val="1FC13D30"/>
    <w:rsid w:val="1FCA3D94"/>
    <w:rsid w:val="1FF4097F"/>
    <w:rsid w:val="1FFE71B7"/>
    <w:rsid w:val="20052895"/>
    <w:rsid w:val="200A3A07"/>
    <w:rsid w:val="200E0021"/>
    <w:rsid w:val="200E0D52"/>
    <w:rsid w:val="20166850"/>
    <w:rsid w:val="202B167B"/>
    <w:rsid w:val="204F1D62"/>
    <w:rsid w:val="205D447F"/>
    <w:rsid w:val="2076109D"/>
    <w:rsid w:val="207E073E"/>
    <w:rsid w:val="208C266E"/>
    <w:rsid w:val="209839C4"/>
    <w:rsid w:val="20A200E4"/>
    <w:rsid w:val="20A91472"/>
    <w:rsid w:val="20AB105A"/>
    <w:rsid w:val="20C40F10"/>
    <w:rsid w:val="20E052CB"/>
    <w:rsid w:val="20EA73A7"/>
    <w:rsid w:val="21111EDC"/>
    <w:rsid w:val="21170CAE"/>
    <w:rsid w:val="213A2338"/>
    <w:rsid w:val="213B33B3"/>
    <w:rsid w:val="21482ECD"/>
    <w:rsid w:val="214E3C4C"/>
    <w:rsid w:val="21827B08"/>
    <w:rsid w:val="218E0668"/>
    <w:rsid w:val="218E68BA"/>
    <w:rsid w:val="2190727D"/>
    <w:rsid w:val="21977B3A"/>
    <w:rsid w:val="21C85928"/>
    <w:rsid w:val="21CB110C"/>
    <w:rsid w:val="21F4671D"/>
    <w:rsid w:val="222455EB"/>
    <w:rsid w:val="22255CB0"/>
    <w:rsid w:val="223C6316"/>
    <w:rsid w:val="224F4676"/>
    <w:rsid w:val="224F7DEF"/>
    <w:rsid w:val="225B24C2"/>
    <w:rsid w:val="2265586D"/>
    <w:rsid w:val="2277734E"/>
    <w:rsid w:val="227D2BB6"/>
    <w:rsid w:val="227E6985"/>
    <w:rsid w:val="229879F0"/>
    <w:rsid w:val="22B87754"/>
    <w:rsid w:val="22E9024C"/>
    <w:rsid w:val="22EF3388"/>
    <w:rsid w:val="234D3E49"/>
    <w:rsid w:val="23580F2E"/>
    <w:rsid w:val="23584295"/>
    <w:rsid w:val="235D6EBB"/>
    <w:rsid w:val="237804A2"/>
    <w:rsid w:val="237C236E"/>
    <w:rsid w:val="23AB5501"/>
    <w:rsid w:val="23C245F9"/>
    <w:rsid w:val="23E47D3B"/>
    <w:rsid w:val="23E6478B"/>
    <w:rsid w:val="23E82132"/>
    <w:rsid w:val="23EF5E20"/>
    <w:rsid w:val="23F16472"/>
    <w:rsid w:val="23F61189"/>
    <w:rsid w:val="23F664EC"/>
    <w:rsid w:val="23FE3FEE"/>
    <w:rsid w:val="240510B5"/>
    <w:rsid w:val="240514AB"/>
    <w:rsid w:val="240E3936"/>
    <w:rsid w:val="241412F8"/>
    <w:rsid w:val="24197604"/>
    <w:rsid w:val="241E2177"/>
    <w:rsid w:val="24280900"/>
    <w:rsid w:val="243948BB"/>
    <w:rsid w:val="244A674C"/>
    <w:rsid w:val="24521E21"/>
    <w:rsid w:val="2462216B"/>
    <w:rsid w:val="247A77C7"/>
    <w:rsid w:val="247D2982"/>
    <w:rsid w:val="248D2E59"/>
    <w:rsid w:val="24955D86"/>
    <w:rsid w:val="24A520C1"/>
    <w:rsid w:val="24CD7867"/>
    <w:rsid w:val="24DC0B26"/>
    <w:rsid w:val="24F1163A"/>
    <w:rsid w:val="24F15196"/>
    <w:rsid w:val="24FD1D8D"/>
    <w:rsid w:val="250D331D"/>
    <w:rsid w:val="250F7D12"/>
    <w:rsid w:val="254774AC"/>
    <w:rsid w:val="254F27D3"/>
    <w:rsid w:val="25537BFE"/>
    <w:rsid w:val="25861D82"/>
    <w:rsid w:val="25893620"/>
    <w:rsid w:val="259F3F8F"/>
    <w:rsid w:val="25B763DF"/>
    <w:rsid w:val="25CB59E7"/>
    <w:rsid w:val="25CD79B1"/>
    <w:rsid w:val="25DD1926"/>
    <w:rsid w:val="25E82A3D"/>
    <w:rsid w:val="25F5515A"/>
    <w:rsid w:val="260D6534"/>
    <w:rsid w:val="2610789E"/>
    <w:rsid w:val="261B1F8E"/>
    <w:rsid w:val="261F659D"/>
    <w:rsid w:val="261F7C11"/>
    <w:rsid w:val="262477ED"/>
    <w:rsid w:val="26263565"/>
    <w:rsid w:val="2628070A"/>
    <w:rsid w:val="263317DE"/>
    <w:rsid w:val="2636185A"/>
    <w:rsid w:val="263A0DBE"/>
    <w:rsid w:val="263C4B36"/>
    <w:rsid w:val="263E08AF"/>
    <w:rsid w:val="263F63D5"/>
    <w:rsid w:val="264B2FCC"/>
    <w:rsid w:val="265B27E9"/>
    <w:rsid w:val="266320C3"/>
    <w:rsid w:val="266434A6"/>
    <w:rsid w:val="266B541C"/>
    <w:rsid w:val="2674607E"/>
    <w:rsid w:val="26784068"/>
    <w:rsid w:val="268169ED"/>
    <w:rsid w:val="26853386"/>
    <w:rsid w:val="268D6192"/>
    <w:rsid w:val="26950C38"/>
    <w:rsid w:val="26A050C5"/>
    <w:rsid w:val="26A12BEB"/>
    <w:rsid w:val="26B9787D"/>
    <w:rsid w:val="26C67373"/>
    <w:rsid w:val="26DE2B81"/>
    <w:rsid w:val="26F7280B"/>
    <w:rsid w:val="26F747B3"/>
    <w:rsid w:val="26FA6CA5"/>
    <w:rsid w:val="270F4C41"/>
    <w:rsid w:val="272A0E33"/>
    <w:rsid w:val="272A498F"/>
    <w:rsid w:val="27475901"/>
    <w:rsid w:val="274912B9"/>
    <w:rsid w:val="27545406"/>
    <w:rsid w:val="275B0AE0"/>
    <w:rsid w:val="276E0D20"/>
    <w:rsid w:val="27716A62"/>
    <w:rsid w:val="278F0442"/>
    <w:rsid w:val="27C052F3"/>
    <w:rsid w:val="27D15B65"/>
    <w:rsid w:val="27D7721B"/>
    <w:rsid w:val="27FA25B3"/>
    <w:rsid w:val="2805028C"/>
    <w:rsid w:val="28081174"/>
    <w:rsid w:val="280B656E"/>
    <w:rsid w:val="28164F13"/>
    <w:rsid w:val="281D135F"/>
    <w:rsid w:val="281D44F4"/>
    <w:rsid w:val="282F7966"/>
    <w:rsid w:val="283B21DD"/>
    <w:rsid w:val="28447CD2"/>
    <w:rsid w:val="285D7924"/>
    <w:rsid w:val="286A598B"/>
    <w:rsid w:val="28795A8F"/>
    <w:rsid w:val="288E20FA"/>
    <w:rsid w:val="28AD5878"/>
    <w:rsid w:val="28BA66DF"/>
    <w:rsid w:val="28C332ED"/>
    <w:rsid w:val="28DB4B88"/>
    <w:rsid w:val="28DF17A9"/>
    <w:rsid w:val="28F33BD2"/>
    <w:rsid w:val="292A17BF"/>
    <w:rsid w:val="294A4B66"/>
    <w:rsid w:val="296028EA"/>
    <w:rsid w:val="296D122C"/>
    <w:rsid w:val="29A6176B"/>
    <w:rsid w:val="29AD598E"/>
    <w:rsid w:val="29B35110"/>
    <w:rsid w:val="29B54EB6"/>
    <w:rsid w:val="29FF53A3"/>
    <w:rsid w:val="2A06316E"/>
    <w:rsid w:val="2A0911D4"/>
    <w:rsid w:val="2A2629D4"/>
    <w:rsid w:val="2A3873C3"/>
    <w:rsid w:val="2A3D382A"/>
    <w:rsid w:val="2A4B116F"/>
    <w:rsid w:val="2A4E308A"/>
    <w:rsid w:val="2A521EC7"/>
    <w:rsid w:val="2A5222C4"/>
    <w:rsid w:val="2A6664F5"/>
    <w:rsid w:val="2A6D6556"/>
    <w:rsid w:val="2A77613D"/>
    <w:rsid w:val="2A7F3EA8"/>
    <w:rsid w:val="2A8645D2"/>
    <w:rsid w:val="2A8F49E0"/>
    <w:rsid w:val="2AA35184"/>
    <w:rsid w:val="2AED63FF"/>
    <w:rsid w:val="2AF43C32"/>
    <w:rsid w:val="2AFB4FC0"/>
    <w:rsid w:val="2AFC251F"/>
    <w:rsid w:val="2B0674C1"/>
    <w:rsid w:val="2B084AD1"/>
    <w:rsid w:val="2B236475"/>
    <w:rsid w:val="2B3B53BD"/>
    <w:rsid w:val="2B4104F9"/>
    <w:rsid w:val="2B667F60"/>
    <w:rsid w:val="2B7D005E"/>
    <w:rsid w:val="2B7D3C27"/>
    <w:rsid w:val="2B846BA7"/>
    <w:rsid w:val="2B8C79C6"/>
    <w:rsid w:val="2B9826CE"/>
    <w:rsid w:val="2BA54F2C"/>
    <w:rsid w:val="2BBD2C03"/>
    <w:rsid w:val="2BC4508F"/>
    <w:rsid w:val="2BCF1FA9"/>
    <w:rsid w:val="2BD1187D"/>
    <w:rsid w:val="2BDA2E28"/>
    <w:rsid w:val="2BED3350"/>
    <w:rsid w:val="2BED6BAB"/>
    <w:rsid w:val="2BFC5173"/>
    <w:rsid w:val="2C11436F"/>
    <w:rsid w:val="2C167BD8"/>
    <w:rsid w:val="2C1A410C"/>
    <w:rsid w:val="2C1C0F19"/>
    <w:rsid w:val="2C2957AB"/>
    <w:rsid w:val="2C2C4D47"/>
    <w:rsid w:val="2C4A10FB"/>
    <w:rsid w:val="2C5129BE"/>
    <w:rsid w:val="2C576226"/>
    <w:rsid w:val="2C581F9E"/>
    <w:rsid w:val="2C5A4142"/>
    <w:rsid w:val="2C5E2660"/>
    <w:rsid w:val="2C6A5C3F"/>
    <w:rsid w:val="2C6C77F8"/>
    <w:rsid w:val="2C867207"/>
    <w:rsid w:val="2CA44508"/>
    <w:rsid w:val="2CBF3DCB"/>
    <w:rsid w:val="2CCB6C14"/>
    <w:rsid w:val="2CD96D8A"/>
    <w:rsid w:val="2CDD05EA"/>
    <w:rsid w:val="2CFA105C"/>
    <w:rsid w:val="2D173C07"/>
    <w:rsid w:val="2D2F2CFF"/>
    <w:rsid w:val="2D414068"/>
    <w:rsid w:val="2D502C75"/>
    <w:rsid w:val="2DBD3A80"/>
    <w:rsid w:val="2DC23B73"/>
    <w:rsid w:val="2DD146D3"/>
    <w:rsid w:val="2E0B6614"/>
    <w:rsid w:val="2E204D3E"/>
    <w:rsid w:val="2E2C513A"/>
    <w:rsid w:val="2E2C69E4"/>
    <w:rsid w:val="2E385BE3"/>
    <w:rsid w:val="2E572DCE"/>
    <w:rsid w:val="2E641D37"/>
    <w:rsid w:val="2E664DDE"/>
    <w:rsid w:val="2E766A63"/>
    <w:rsid w:val="2E7806D6"/>
    <w:rsid w:val="2E783F0C"/>
    <w:rsid w:val="2E7A1E0B"/>
    <w:rsid w:val="2E823302"/>
    <w:rsid w:val="2EC93F3A"/>
    <w:rsid w:val="2ECC4F40"/>
    <w:rsid w:val="2EED2E72"/>
    <w:rsid w:val="2F1523C9"/>
    <w:rsid w:val="2F3A3BDD"/>
    <w:rsid w:val="2F452CAE"/>
    <w:rsid w:val="2F6173BC"/>
    <w:rsid w:val="2F650C5A"/>
    <w:rsid w:val="2F8D3E76"/>
    <w:rsid w:val="2F9A7298"/>
    <w:rsid w:val="2FA534E1"/>
    <w:rsid w:val="2FAA48BF"/>
    <w:rsid w:val="2FB7522E"/>
    <w:rsid w:val="2FCA3AC6"/>
    <w:rsid w:val="2FD4748B"/>
    <w:rsid w:val="2FD60B3B"/>
    <w:rsid w:val="2FDD746B"/>
    <w:rsid w:val="2FE06533"/>
    <w:rsid w:val="2FE37DD1"/>
    <w:rsid w:val="2FE75B13"/>
    <w:rsid w:val="2FF03017"/>
    <w:rsid w:val="2FF3270A"/>
    <w:rsid w:val="2FFD0E93"/>
    <w:rsid w:val="300A53BB"/>
    <w:rsid w:val="30146D95"/>
    <w:rsid w:val="302B7946"/>
    <w:rsid w:val="305F1B4D"/>
    <w:rsid w:val="308710A4"/>
    <w:rsid w:val="308723F2"/>
    <w:rsid w:val="308A02AF"/>
    <w:rsid w:val="30A419DB"/>
    <w:rsid w:val="30A47560"/>
    <w:rsid w:val="30D047F9"/>
    <w:rsid w:val="30D82C75"/>
    <w:rsid w:val="30DF67EA"/>
    <w:rsid w:val="30E12562"/>
    <w:rsid w:val="30E65093"/>
    <w:rsid w:val="30FA685D"/>
    <w:rsid w:val="310426F5"/>
    <w:rsid w:val="310811F3"/>
    <w:rsid w:val="31101099"/>
    <w:rsid w:val="311341C5"/>
    <w:rsid w:val="31181CFC"/>
    <w:rsid w:val="31283B33"/>
    <w:rsid w:val="312D39F9"/>
    <w:rsid w:val="314A3F83"/>
    <w:rsid w:val="315A25C4"/>
    <w:rsid w:val="316118F5"/>
    <w:rsid w:val="31844312"/>
    <w:rsid w:val="318D3E35"/>
    <w:rsid w:val="31A17F44"/>
    <w:rsid w:val="31A737AC"/>
    <w:rsid w:val="31AF1FC5"/>
    <w:rsid w:val="31D04385"/>
    <w:rsid w:val="31D200FD"/>
    <w:rsid w:val="31D74FCB"/>
    <w:rsid w:val="31ED4F37"/>
    <w:rsid w:val="31FD161E"/>
    <w:rsid w:val="320911D7"/>
    <w:rsid w:val="320D7E0E"/>
    <w:rsid w:val="3220530C"/>
    <w:rsid w:val="3244724D"/>
    <w:rsid w:val="324F174E"/>
    <w:rsid w:val="324F1E45"/>
    <w:rsid w:val="327F58EB"/>
    <w:rsid w:val="32C65EB4"/>
    <w:rsid w:val="32FB4A31"/>
    <w:rsid w:val="33062754"/>
    <w:rsid w:val="33153AE6"/>
    <w:rsid w:val="33166203"/>
    <w:rsid w:val="333A6475"/>
    <w:rsid w:val="335C4122"/>
    <w:rsid w:val="339A2AD4"/>
    <w:rsid w:val="33CC265E"/>
    <w:rsid w:val="33ED121E"/>
    <w:rsid w:val="33FD6212"/>
    <w:rsid w:val="34131238"/>
    <w:rsid w:val="341744ED"/>
    <w:rsid w:val="34180991"/>
    <w:rsid w:val="342E356B"/>
    <w:rsid w:val="34321327"/>
    <w:rsid w:val="34507F32"/>
    <w:rsid w:val="346E3718"/>
    <w:rsid w:val="347436ED"/>
    <w:rsid w:val="34836376"/>
    <w:rsid w:val="3497206C"/>
    <w:rsid w:val="34A751C4"/>
    <w:rsid w:val="34BD4190"/>
    <w:rsid w:val="34C178E7"/>
    <w:rsid w:val="34D10B40"/>
    <w:rsid w:val="34DA79F4"/>
    <w:rsid w:val="34DF10F7"/>
    <w:rsid w:val="34FD36E3"/>
    <w:rsid w:val="350275A5"/>
    <w:rsid w:val="351537D8"/>
    <w:rsid w:val="351B0C9B"/>
    <w:rsid w:val="352F096F"/>
    <w:rsid w:val="35392584"/>
    <w:rsid w:val="355C48AD"/>
    <w:rsid w:val="357B71D4"/>
    <w:rsid w:val="357C03F5"/>
    <w:rsid w:val="35885193"/>
    <w:rsid w:val="35900175"/>
    <w:rsid w:val="359C4C33"/>
    <w:rsid w:val="359C7792"/>
    <w:rsid w:val="35A342A1"/>
    <w:rsid w:val="35A7466E"/>
    <w:rsid w:val="35AB46C3"/>
    <w:rsid w:val="35BC534C"/>
    <w:rsid w:val="35C55E0A"/>
    <w:rsid w:val="35D662A2"/>
    <w:rsid w:val="35E0728C"/>
    <w:rsid w:val="35F6716C"/>
    <w:rsid w:val="35FF47F9"/>
    <w:rsid w:val="360941BC"/>
    <w:rsid w:val="361F2DCC"/>
    <w:rsid w:val="36287E0D"/>
    <w:rsid w:val="365D6B2F"/>
    <w:rsid w:val="366003CD"/>
    <w:rsid w:val="36687282"/>
    <w:rsid w:val="366E2AEA"/>
    <w:rsid w:val="36770772"/>
    <w:rsid w:val="367E1E95"/>
    <w:rsid w:val="36826596"/>
    <w:rsid w:val="36940077"/>
    <w:rsid w:val="369C0B03"/>
    <w:rsid w:val="369D33CF"/>
    <w:rsid w:val="36AA50EA"/>
    <w:rsid w:val="36C56DDE"/>
    <w:rsid w:val="36CA4758"/>
    <w:rsid w:val="36CC1A0E"/>
    <w:rsid w:val="36D16BD5"/>
    <w:rsid w:val="36DD5106"/>
    <w:rsid w:val="36F607DB"/>
    <w:rsid w:val="370300D4"/>
    <w:rsid w:val="370A20E7"/>
    <w:rsid w:val="37145607"/>
    <w:rsid w:val="37184804"/>
    <w:rsid w:val="371B60A2"/>
    <w:rsid w:val="371C0798"/>
    <w:rsid w:val="37303839"/>
    <w:rsid w:val="37357164"/>
    <w:rsid w:val="373A142E"/>
    <w:rsid w:val="37565402"/>
    <w:rsid w:val="375F2433"/>
    <w:rsid w:val="37757EA8"/>
    <w:rsid w:val="378C4D7F"/>
    <w:rsid w:val="37941808"/>
    <w:rsid w:val="37AD13F0"/>
    <w:rsid w:val="37D050DF"/>
    <w:rsid w:val="37E172EC"/>
    <w:rsid w:val="37E40B8A"/>
    <w:rsid w:val="37EA43F2"/>
    <w:rsid w:val="38055726"/>
    <w:rsid w:val="38122359"/>
    <w:rsid w:val="38746D20"/>
    <w:rsid w:val="38763ED8"/>
    <w:rsid w:val="38946533"/>
    <w:rsid w:val="38B6081F"/>
    <w:rsid w:val="38C369F1"/>
    <w:rsid w:val="38CF183A"/>
    <w:rsid w:val="38D44DA9"/>
    <w:rsid w:val="38F265F2"/>
    <w:rsid w:val="39046A84"/>
    <w:rsid w:val="3908016A"/>
    <w:rsid w:val="392A30FB"/>
    <w:rsid w:val="392E6561"/>
    <w:rsid w:val="39430EFE"/>
    <w:rsid w:val="39516275"/>
    <w:rsid w:val="39582175"/>
    <w:rsid w:val="39592B0D"/>
    <w:rsid w:val="396924FA"/>
    <w:rsid w:val="396F3EC6"/>
    <w:rsid w:val="39794E4F"/>
    <w:rsid w:val="397C4A10"/>
    <w:rsid w:val="3986014B"/>
    <w:rsid w:val="39925C75"/>
    <w:rsid w:val="399D1235"/>
    <w:rsid w:val="39A4303F"/>
    <w:rsid w:val="39CD3FCC"/>
    <w:rsid w:val="39CD7B28"/>
    <w:rsid w:val="39FF7EFD"/>
    <w:rsid w:val="3A0A215A"/>
    <w:rsid w:val="3A0E0140"/>
    <w:rsid w:val="3A330EDB"/>
    <w:rsid w:val="3A5543D1"/>
    <w:rsid w:val="3A5A6186"/>
    <w:rsid w:val="3A7F7C87"/>
    <w:rsid w:val="3A9C574C"/>
    <w:rsid w:val="3A9E14C4"/>
    <w:rsid w:val="3AB17449"/>
    <w:rsid w:val="3AC319C7"/>
    <w:rsid w:val="3AEB6247"/>
    <w:rsid w:val="3B163750"/>
    <w:rsid w:val="3B2C7371"/>
    <w:rsid w:val="3B2D45F6"/>
    <w:rsid w:val="3B33508B"/>
    <w:rsid w:val="3B697D24"/>
    <w:rsid w:val="3B7B35B3"/>
    <w:rsid w:val="3B83709F"/>
    <w:rsid w:val="3B885EF0"/>
    <w:rsid w:val="3BA945C4"/>
    <w:rsid w:val="3BAA6B7D"/>
    <w:rsid w:val="3BAC5E63"/>
    <w:rsid w:val="3BC211E2"/>
    <w:rsid w:val="3BD81212"/>
    <w:rsid w:val="3C1B6F4F"/>
    <w:rsid w:val="3C1D78D2"/>
    <w:rsid w:val="3C30374D"/>
    <w:rsid w:val="3C351366"/>
    <w:rsid w:val="3C6A3D54"/>
    <w:rsid w:val="3C6E4EC6"/>
    <w:rsid w:val="3C850B8E"/>
    <w:rsid w:val="3C94204F"/>
    <w:rsid w:val="3C975BDA"/>
    <w:rsid w:val="3CB90837"/>
    <w:rsid w:val="3CBF4B32"/>
    <w:rsid w:val="3CD16A44"/>
    <w:rsid w:val="3CDE3DFA"/>
    <w:rsid w:val="3CE372EC"/>
    <w:rsid w:val="3CF4186F"/>
    <w:rsid w:val="3CF63839"/>
    <w:rsid w:val="3D0B0B4A"/>
    <w:rsid w:val="3D0F66A9"/>
    <w:rsid w:val="3D132162"/>
    <w:rsid w:val="3D3C2594"/>
    <w:rsid w:val="3D3F6F8E"/>
    <w:rsid w:val="3D483969"/>
    <w:rsid w:val="3D5978AB"/>
    <w:rsid w:val="3D5E3E77"/>
    <w:rsid w:val="3D66611D"/>
    <w:rsid w:val="3D6F17D9"/>
    <w:rsid w:val="3D8320B1"/>
    <w:rsid w:val="3D8A4E34"/>
    <w:rsid w:val="3DA3484B"/>
    <w:rsid w:val="3DC76796"/>
    <w:rsid w:val="3DE1766A"/>
    <w:rsid w:val="3DE763FA"/>
    <w:rsid w:val="3DF15DAF"/>
    <w:rsid w:val="3E0A497D"/>
    <w:rsid w:val="3E435396"/>
    <w:rsid w:val="3E4B1963"/>
    <w:rsid w:val="3E55633E"/>
    <w:rsid w:val="3E7A2248"/>
    <w:rsid w:val="3E9E7CE5"/>
    <w:rsid w:val="3EAA6689"/>
    <w:rsid w:val="3ECB6600"/>
    <w:rsid w:val="3ECD0C11"/>
    <w:rsid w:val="3ED56E8F"/>
    <w:rsid w:val="3ED90D1D"/>
    <w:rsid w:val="3EEC6CA2"/>
    <w:rsid w:val="3EF07205"/>
    <w:rsid w:val="3F1A3C72"/>
    <w:rsid w:val="3F23643C"/>
    <w:rsid w:val="3F2D1A27"/>
    <w:rsid w:val="3F30692A"/>
    <w:rsid w:val="3F4C7741"/>
    <w:rsid w:val="3F5D7BA0"/>
    <w:rsid w:val="3F860E9F"/>
    <w:rsid w:val="3F873E94"/>
    <w:rsid w:val="3F8F215A"/>
    <w:rsid w:val="3F93711E"/>
    <w:rsid w:val="3F9A4950"/>
    <w:rsid w:val="3FB2738E"/>
    <w:rsid w:val="3FD61C25"/>
    <w:rsid w:val="3FE527C4"/>
    <w:rsid w:val="3FFB0D78"/>
    <w:rsid w:val="4004626D"/>
    <w:rsid w:val="4006007D"/>
    <w:rsid w:val="401E0B61"/>
    <w:rsid w:val="401E512E"/>
    <w:rsid w:val="403C77B5"/>
    <w:rsid w:val="40572841"/>
    <w:rsid w:val="40592ECB"/>
    <w:rsid w:val="405F34A4"/>
    <w:rsid w:val="40610FCA"/>
    <w:rsid w:val="40862BD8"/>
    <w:rsid w:val="408829FA"/>
    <w:rsid w:val="40A23390"/>
    <w:rsid w:val="40BF2194"/>
    <w:rsid w:val="40D9050A"/>
    <w:rsid w:val="40F64D19"/>
    <w:rsid w:val="41014921"/>
    <w:rsid w:val="41053CE5"/>
    <w:rsid w:val="416136DF"/>
    <w:rsid w:val="4168282C"/>
    <w:rsid w:val="41950879"/>
    <w:rsid w:val="41AF0084"/>
    <w:rsid w:val="41C44063"/>
    <w:rsid w:val="41DD7C7C"/>
    <w:rsid w:val="41DE28A1"/>
    <w:rsid w:val="41E360EF"/>
    <w:rsid w:val="41E974C9"/>
    <w:rsid w:val="41FD4D22"/>
    <w:rsid w:val="4205007B"/>
    <w:rsid w:val="420C31B7"/>
    <w:rsid w:val="421F113C"/>
    <w:rsid w:val="422216F1"/>
    <w:rsid w:val="424302F7"/>
    <w:rsid w:val="425F3C2F"/>
    <w:rsid w:val="428B3EC7"/>
    <w:rsid w:val="42935686"/>
    <w:rsid w:val="42A93DB9"/>
    <w:rsid w:val="42B20202"/>
    <w:rsid w:val="42BC1B77"/>
    <w:rsid w:val="42CE1738"/>
    <w:rsid w:val="42D426D5"/>
    <w:rsid w:val="42F04887"/>
    <w:rsid w:val="42F500EF"/>
    <w:rsid w:val="42F55E87"/>
    <w:rsid w:val="430420E0"/>
    <w:rsid w:val="43106CD7"/>
    <w:rsid w:val="43255533"/>
    <w:rsid w:val="4326424B"/>
    <w:rsid w:val="43456981"/>
    <w:rsid w:val="436037BB"/>
    <w:rsid w:val="436A07FE"/>
    <w:rsid w:val="436B092E"/>
    <w:rsid w:val="436E2F11"/>
    <w:rsid w:val="437D25BE"/>
    <w:rsid w:val="438A6A89"/>
    <w:rsid w:val="43972F54"/>
    <w:rsid w:val="43A833B4"/>
    <w:rsid w:val="43B81849"/>
    <w:rsid w:val="43B82C77"/>
    <w:rsid w:val="43C65643"/>
    <w:rsid w:val="43CC533A"/>
    <w:rsid w:val="43ED51DA"/>
    <w:rsid w:val="440525B4"/>
    <w:rsid w:val="4416656F"/>
    <w:rsid w:val="442F39F3"/>
    <w:rsid w:val="44305883"/>
    <w:rsid w:val="443D7768"/>
    <w:rsid w:val="444E3F5B"/>
    <w:rsid w:val="445B21D4"/>
    <w:rsid w:val="44654C8C"/>
    <w:rsid w:val="448259B3"/>
    <w:rsid w:val="44A1052F"/>
    <w:rsid w:val="44A75419"/>
    <w:rsid w:val="44B32010"/>
    <w:rsid w:val="44B34698"/>
    <w:rsid w:val="44B57B36"/>
    <w:rsid w:val="44BA514C"/>
    <w:rsid w:val="44C40459"/>
    <w:rsid w:val="44DD0E3B"/>
    <w:rsid w:val="44E16B7D"/>
    <w:rsid w:val="44E51B51"/>
    <w:rsid w:val="44EB1B03"/>
    <w:rsid w:val="45303661"/>
    <w:rsid w:val="45407847"/>
    <w:rsid w:val="4549583D"/>
    <w:rsid w:val="45622B78"/>
    <w:rsid w:val="457B2B2E"/>
    <w:rsid w:val="457C0654"/>
    <w:rsid w:val="458A660A"/>
    <w:rsid w:val="459C5292"/>
    <w:rsid w:val="45BF6144"/>
    <w:rsid w:val="45C30031"/>
    <w:rsid w:val="45D73ADC"/>
    <w:rsid w:val="45ED0E41"/>
    <w:rsid w:val="45F971C9"/>
    <w:rsid w:val="45FB407D"/>
    <w:rsid w:val="45FB5A1D"/>
    <w:rsid w:val="45FD2BCE"/>
    <w:rsid w:val="46112B77"/>
    <w:rsid w:val="46222FA9"/>
    <w:rsid w:val="462F3918"/>
    <w:rsid w:val="4644178C"/>
    <w:rsid w:val="465E3877"/>
    <w:rsid w:val="466336AA"/>
    <w:rsid w:val="467E4A51"/>
    <w:rsid w:val="468945C4"/>
    <w:rsid w:val="46965745"/>
    <w:rsid w:val="46A53BE7"/>
    <w:rsid w:val="46B02CAB"/>
    <w:rsid w:val="46B46D8F"/>
    <w:rsid w:val="46C2478C"/>
    <w:rsid w:val="46C5313B"/>
    <w:rsid w:val="46D042EE"/>
    <w:rsid w:val="47075DCA"/>
    <w:rsid w:val="47455B21"/>
    <w:rsid w:val="47576C52"/>
    <w:rsid w:val="47791908"/>
    <w:rsid w:val="477F7142"/>
    <w:rsid w:val="47833F1C"/>
    <w:rsid w:val="478B02B6"/>
    <w:rsid w:val="47A0155D"/>
    <w:rsid w:val="47A125F4"/>
    <w:rsid w:val="47AA25C7"/>
    <w:rsid w:val="47AD2D46"/>
    <w:rsid w:val="47BC54D2"/>
    <w:rsid w:val="47E600CE"/>
    <w:rsid w:val="47EF182D"/>
    <w:rsid w:val="48180B08"/>
    <w:rsid w:val="482F423C"/>
    <w:rsid w:val="482F7405"/>
    <w:rsid w:val="483F331D"/>
    <w:rsid w:val="487A531F"/>
    <w:rsid w:val="48895562"/>
    <w:rsid w:val="48B32931"/>
    <w:rsid w:val="48BC5937"/>
    <w:rsid w:val="48C77E38"/>
    <w:rsid w:val="48DA5DBD"/>
    <w:rsid w:val="48F001AB"/>
    <w:rsid w:val="49043472"/>
    <w:rsid w:val="4913307D"/>
    <w:rsid w:val="49153299"/>
    <w:rsid w:val="49380D36"/>
    <w:rsid w:val="49396F88"/>
    <w:rsid w:val="493F20C4"/>
    <w:rsid w:val="497E0E3E"/>
    <w:rsid w:val="49852879"/>
    <w:rsid w:val="499046CE"/>
    <w:rsid w:val="49912347"/>
    <w:rsid w:val="49926698"/>
    <w:rsid w:val="499A1CD1"/>
    <w:rsid w:val="49B5720F"/>
    <w:rsid w:val="49C8030C"/>
    <w:rsid w:val="49E3107C"/>
    <w:rsid w:val="4A0155CC"/>
    <w:rsid w:val="4A34692A"/>
    <w:rsid w:val="4A4C4A99"/>
    <w:rsid w:val="4A541B9F"/>
    <w:rsid w:val="4A570F3A"/>
    <w:rsid w:val="4A630D97"/>
    <w:rsid w:val="4A69564B"/>
    <w:rsid w:val="4A6A4F1F"/>
    <w:rsid w:val="4A71188D"/>
    <w:rsid w:val="4AA1215D"/>
    <w:rsid w:val="4AAF6DD6"/>
    <w:rsid w:val="4AB136D7"/>
    <w:rsid w:val="4AB328A6"/>
    <w:rsid w:val="4AB97AC7"/>
    <w:rsid w:val="4AD064A1"/>
    <w:rsid w:val="4AF15640"/>
    <w:rsid w:val="4B0B1EC1"/>
    <w:rsid w:val="4B0D06CC"/>
    <w:rsid w:val="4B315A7E"/>
    <w:rsid w:val="4B472D3C"/>
    <w:rsid w:val="4B6D4D75"/>
    <w:rsid w:val="4B765330"/>
    <w:rsid w:val="4B7F3EE4"/>
    <w:rsid w:val="4BA7694B"/>
    <w:rsid w:val="4BAD1567"/>
    <w:rsid w:val="4BB87F0C"/>
    <w:rsid w:val="4BC045B9"/>
    <w:rsid w:val="4BCF3BD3"/>
    <w:rsid w:val="4BD903FD"/>
    <w:rsid w:val="4BEC28F6"/>
    <w:rsid w:val="4C03562B"/>
    <w:rsid w:val="4C065B1E"/>
    <w:rsid w:val="4C341C88"/>
    <w:rsid w:val="4C416153"/>
    <w:rsid w:val="4C6A56AA"/>
    <w:rsid w:val="4C8C4B93"/>
    <w:rsid w:val="4CA86612"/>
    <w:rsid w:val="4CA961D2"/>
    <w:rsid w:val="4CB6269D"/>
    <w:rsid w:val="4CBB7CB4"/>
    <w:rsid w:val="4CC13A7B"/>
    <w:rsid w:val="4CF722A6"/>
    <w:rsid w:val="4D023B34"/>
    <w:rsid w:val="4D060ABF"/>
    <w:rsid w:val="4D097919"/>
    <w:rsid w:val="4D4859B9"/>
    <w:rsid w:val="4D534390"/>
    <w:rsid w:val="4D664586"/>
    <w:rsid w:val="4D9815D3"/>
    <w:rsid w:val="4D9A3D6D"/>
    <w:rsid w:val="4DCB4070"/>
    <w:rsid w:val="4DF30C68"/>
    <w:rsid w:val="4DF74D1B"/>
    <w:rsid w:val="4E0F74B1"/>
    <w:rsid w:val="4E15651D"/>
    <w:rsid w:val="4E221472"/>
    <w:rsid w:val="4E2C5858"/>
    <w:rsid w:val="4E2D4423"/>
    <w:rsid w:val="4E2E782D"/>
    <w:rsid w:val="4E3715BC"/>
    <w:rsid w:val="4E813B1E"/>
    <w:rsid w:val="4E985C60"/>
    <w:rsid w:val="4EBC428F"/>
    <w:rsid w:val="4ECB7346"/>
    <w:rsid w:val="4EE031E2"/>
    <w:rsid w:val="4EE94FAC"/>
    <w:rsid w:val="4F073684"/>
    <w:rsid w:val="4F0E121D"/>
    <w:rsid w:val="4F253B0A"/>
    <w:rsid w:val="4F3600D6"/>
    <w:rsid w:val="4F3A5875"/>
    <w:rsid w:val="4F540E61"/>
    <w:rsid w:val="4F6B4177"/>
    <w:rsid w:val="4F730D1A"/>
    <w:rsid w:val="4F7343F2"/>
    <w:rsid w:val="4F7C3338"/>
    <w:rsid w:val="4FA47125"/>
    <w:rsid w:val="4FB5406C"/>
    <w:rsid w:val="4FD01D7D"/>
    <w:rsid w:val="4FD947C7"/>
    <w:rsid w:val="4FDA2B47"/>
    <w:rsid w:val="4FF83DDB"/>
    <w:rsid w:val="5028092C"/>
    <w:rsid w:val="50455999"/>
    <w:rsid w:val="50587CCB"/>
    <w:rsid w:val="5060129E"/>
    <w:rsid w:val="5061143C"/>
    <w:rsid w:val="50667FCB"/>
    <w:rsid w:val="506875D7"/>
    <w:rsid w:val="506A211C"/>
    <w:rsid w:val="507117E3"/>
    <w:rsid w:val="507822C9"/>
    <w:rsid w:val="50827466"/>
    <w:rsid w:val="5097212F"/>
    <w:rsid w:val="50BE4216"/>
    <w:rsid w:val="50CA763C"/>
    <w:rsid w:val="50D40CD5"/>
    <w:rsid w:val="510C32BB"/>
    <w:rsid w:val="51213E05"/>
    <w:rsid w:val="51240AF7"/>
    <w:rsid w:val="512A0EB2"/>
    <w:rsid w:val="51574F11"/>
    <w:rsid w:val="51577810"/>
    <w:rsid w:val="51682D7F"/>
    <w:rsid w:val="51791EEB"/>
    <w:rsid w:val="51842D6A"/>
    <w:rsid w:val="519837F5"/>
    <w:rsid w:val="519D7836"/>
    <w:rsid w:val="51BD002A"/>
    <w:rsid w:val="51D314A7"/>
    <w:rsid w:val="51D35A9F"/>
    <w:rsid w:val="51E23F34"/>
    <w:rsid w:val="51EB0301"/>
    <w:rsid w:val="51FD0995"/>
    <w:rsid w:val="52041B80"/>
    <w:rsid w:val="52045C59"/>
    <w:rsid w:val="52132340"/>
    <w:rsid w:val="522D3402"/>
    <w:rsid w:val="522E3DAB"/>
    <w:rsid w:val="52323424"/>
    <w:rsid w:val="52325181"/>
    <w:rsid w:val="52372242"/>
    <w:rsid w:val="52601B49"/>
    <w:rsid w:val="52657C18"/>
    <w:rsid w:val="526F5525"/>
    <w:rsid w:val="527728CF"/>
    <w:rsid w:val="527B37BE"/>
    <w:rsid w:val="527C5E22"/>
    <w:rsid w:val="52884ADC"/>
    <w:rsid w:val="529E60AD"/>
    <w:rsid w:val="52B44104"/>
    <w:rsid w:val="52BA27BB"/>
    <w:rsid w:val="52BB0A0D"/>
    <w:rsid w:val="52C20E6A"/>
    <w:rsid w:val="52C8137C"/>
    <w:rsid w:val="52F42171"/>
    <w:rsid w:val="52FE4D9E"/>
    <w:rsid w:val="5302663C"/>
    <w:rsid w:val="53051527"/>
    <w:rsid w:val="53135E58"/>
    <w:rsid w:val="531E71EE"/>
    <w:rsid w:val="532F31A9"/>
    <w:rsid w:val="53504598"/>
    <w:rsid w:val="535D1AC5"/>
    <w:rsid w:val="538431CE"/>
    <w:rsid w:val="53C866F8"/>
    <w:rsid w:val="53D45486"/>
    <w:rsid w:val="53FF2B7C"/>
    <w:rsid w:val="54014B46"/>
    <w:rsid w:val="542D2CAE"/>
    <w:rsid w:val="542E520F"/>
    <w:rsid w:val="544100EE"/>
    <w:rsid w:val="54433EFC"/>
    <w:rsid w:val="544D38E7"/>
    <w:rsid w:val="544E58B1"/>
    <w:rsid w:val="54574766"/>
    <w:rsid w:val="54604B24"/>
    <w:rsid w:val="5479045D"/>
    <w:rsid w:val="547F18D1"/>
    <w:rsid w:val="54853514"/>
    <w:rsid w:val="54965F5B"/>
    <w:rsid w:val="54A35BFD"/>
    <w:rsid w:val="54A454D1"/>
    <w:rsid w:val="54AC4C48"/>
    <w:rsid w:val="54B710C1"/>
    <w:rsid w:val="54E9355C"/>
    <w:rsid w:val="54F40207"/>
    <w:rsid w:val="54F902DB"/>
    <w:rsid w:val="54FB3A76"/>
    <w:rsid w:val="55005835"/>
    <w:rsid w:val="55023443"/>
    <w:rsid w:val="551268DF"/>
    <w:rsid w:val="554E1401"/>
    <w:rsid w:val="5552317F"/>
    <w:rsid w:val="555256AB"/>
    <w:rsid w:val="55554260"/>
    <w:rsid w:val="5559450E"/>
    <w:rsid w:val="556059B1"/>
    <w:rsid w:val="5563713A"/>
    <w:rsid w:val="559876AA"/>
    <w:rsid w:val="55A05B02"/>
    <w:rsid w:val="55A859D5"/>
    <w:rsid w:val="55AE4859"/>
    <w:rsid w:val="55B11FA7"/>
    <w:rsid w:val="55D02A22"/>
    <w:rsid w:val="55EC6EE7"/>
    <w:rsid w:val="56035BD4"/>
    <w:rsid w:val="5613290E"/>
    <w:rsid w:val="561902E2"/>
    <w:rsid w:val="562B13D4"/>
    <w:rsid w:val="562E1A31"/>
    <w:rsid w:val="56383BE0"/>
    <w:rsid w:val="56441F5A"/>
    <w:rsid w:val="56587688"/>
    <w:rsid w:val="566603CD"/>
    <w:rsid w:val="56777341"/>
    <w:rsid w:val="567D25B6"/>
    <w:rsid w:val="568A51DD"/>
    <w:rsid w:val="568B6BA3"/>
    <w:rsid w:val="56B62447"/>
    <w:rsid w:val="56BD4678"/>
    <w:rsid w:val="56D45D0E"/>
    <w:rsid w:val="56D54873"/>
    <w:rsid w:val="56F049FE"/>
    <w:rsid w:val="56F11047"/>
    <w:rsid w:val="56F41583"/>
    <w:rsid w:val="571E6D47"/>
    <w:rsid w:val="573F488F"/>
    <w:rsid w:val="574C257C"/>
    <w:rsid w:val="575D35C6"/>
    <w:rsid w:val="577C1579"/>
    <w:rsid w:val="578142DC"/>
    <w:rsid w:val="578340A7"/>
    <w:rsid w:val="57925AB5"/>
    <w:rsid w:val="57966AD8"/>
    <w:rsid w:val="579932E7"/>
    <w:rsid w:val="57B25938"/>
    <w:rsid w:val="57FB6223"/>
    <w:rsid w:val="58232EFA"/>
    <w:rsid w:val="582A3F3F"/>
    <w:rsid w:val="584371A5"/>
    <w:rsid w:val="58445C19"/>
    <w:rsid w:val="58474AF1"/>
    <w:rsid w:val="58584F50"/>
    <w:rsid w:val="58624221"/>
    <w:rsid w:val="58627B7D"/>
    <w:rsid w:val="5866766D"/>
    <w:rsid w:val="58712EAA"/>
    <w:rsid w:val="58757606"/>
    <w:rsid w:val="588875E4"/>
    <w:rsid w:val="589E672D"/>
    <w:rsid w:val="58A24DAF"/>
    <w:rsid w:val="58BE3005"/>
    <w:rsid w:val="58C15B38"/>
    <w:rsid w:val="58E40592"/>
    <w:rsid w:val="58E84F76"/>
    <w:rsid w:val="58EF6F79"/>
    <w:rsid w:val="58F5279F"/>
    <w:rsid w:val="59140E77"/>
    <w:rsid w:val="593350E3"/>
    <w:rsid w:val="593432C8"/>
    <w:rsid w:val="5934707A"/>
    <w:rsid w:val="59491009"/>
    <w:rsid w:val="596811C3"/>
    <w:rsid w:val="59810851"/>
    <w:rsid w:val="59861649"/>
    <w:rsid w:val="5986574F"/>
    <w:rsid w:val="598C3104"/>
    <w:rsid w:val="599124C8"/>
    <w:rsid w:val="59973856"/>
    <w:rsid w:val="599A4600"/>
    <w:rsid w:val="599B3347"/>
    <w:rsid w:val="59AC5554"/>
    <w:rsid w:val="59AC7C35"/>
    <w:rsid w:val="59D61D59"/>
    <w:rsid w:val="59DD74BB"/>
    <w:rsid w:val="5A2A6479"/>
    <w:rsid w:val="5A3B0686"/>
    <w:rsid w:val="5A43120C"/>
    <w:rsid w:val="5A470DD9"/>
    <w:rsid w:val="5A4C63EF"/>
    <w:rsid w:val="5A5C34F4"/>
    <w:rsid w:val="5A6B2BBD"/>
    <w:rsid w:val="5A6C56C2"/>
    <w:rsid w:val="5A875679"/>
    <w:rsid w:val="5A9304C2"/>
    <w:rsid w:val="5AAB75B9"/>
    <w:rsid w:val="5AB136B3"/>
    <w:rsid w:val="5AC24903"/>
    <w:rsid w:val="5AE21889"/>
    <w:rsid w:val="5AEA0183"/>
    <w:rsid w:val="5AEB54F7"/>
    <w:rsid w:val="5AFC7E15"/>
    <w:rsid w:val="5AFD4BC9"/>
    <w:rsid w:val="5B027F4D"/>
    <w:rsid w:val="5B0647F0"/>
    <w:rsid w:val="5B0C363C"/>
    <w:rsid w:val="5B2D4472"/>
    <w:rsid w:val="5B353327"/>
    <w:rsid w:val="5B432AC3"/>
    <w:rsid w:val="5B4728F4"/>
    <w:rsid w:val="5B4812AC"/>
    <w:rsid w:val="5B4B4BE9"/>
    <w:rsid w:val="5B570C43"/>
    <w:rsid w:val="5B580F90"/>
    <w:rsid w:val="5B5945C5"/>
    <w:rsid w:val="5B614388"/>
    <w:rsid w:val="5B7958C1"/>
    <w:rsid w:val="5B7A5E14"/>
    <w:rsid w:val="5B7B3430"/>
    <w:rsid w:val="5BDB3209"/>
    <w:rsid w:val="5C001B87"/>
    <w:rsid w:val="5C343B2D"/>
    <w:rsid w:val="5C53392F"/>
    <w:rsid w:val="5C533A65"/>
    <w:rsid w:val="5C53453C"/>
    <w:rsid w:val="5C5B5B4A"/>
    <w:rsid w:val="5C640EBB"/>
    <w:rsid w:val="5C776140"/>
    <w:rsid w:val="5C7D4F86"/>
    <w:rsid w:val="5C7F2AAC"/>
    <w:rsid w:val="5C823F98"/>
    <w:rsid w:val="5CB00EB7"/>
    <w:rsid w:val="5CD10E2D"/>
    <w:rsid w:val="5CD252D1"/>
    <w:rsid w:val="5CE45B49"/>
    <w:rsid w:val="5CF031AA"/>
    <w:rsid w:val="5CF44A94"/>
    <w:rsid w:val="5CFC234E"/>
    <w:rsid w:val="5D057DF3"/>
    <w:rsid w:val="5D137698"/>
    <w:rsid w:val="5D2A6169"/>
    <w:rsid w:val="5D4B6E32"/>
    <w:rsid w:val="5D5A7075"/>
    <w:rsid w:val="5D670834"/>
    <w:rsid w:val="5D793201"/>
    <w:rsid w:val="5D7D55CE"/>
    <w:rsid w:val="5D8C1505"/>
    <w:rsid w:val="5D916F3A"/>
    <w:rsid w:val="5D9D2035"/>
    <w:rsid w:val="5DB03139"/>
    <w:rsid w:val="5DC80482"/>
    <w:rsid w:val="5DCB1D21"/>
    <w:rsid w:val="5DE60DD9"/>
    <w:rsid w:val="5DF03535"/>
    <w:rsid w:val="5DF10AEF"/>
    <w:rsid w:val="5DF272AD"/>
    <w:rsid w:val="5DFE39C3"/>
    <w:rsid w:val="5E0F1C0D"/>
    <w:rsid w:val="5E1A314B"/>
    <w:rsid w:val="5E2D3E26"/>
    <w:rsid w:val="5E2F680D"/>
    <w:rsid w:val="5E362502"/>
    <w:rsid w:val="5E3E24F3"/>
    <w:rsid w:val="5E7B72A3"/>
    <w:rsid w:val="5E824AD5"/>
    <w:rsid w:val="5EA90B90"/>
    <w:rsid w:val="5EAF3472"/>
    <w:rsid w:val="5EC7698C"/>
    <w:rsid w:val="5ED13367"/>
    <w:rsid w:val="5ED56729"/>
    <w:rsid w:val="5EDA1C7F"/>
    <w:rsid w:val="5EFC6952"/>
    <w:rsid w:val="5F0D4A61"/>
    <w:rsid w:val="5F1F2324"/>
    <w:rsid w:val="5F235FF8"/>
    <w:rsid w:val="5F36141C"/>
    <w:rsid w:val="5F381799"/>
    <w:rsid w:val="5F3B76B1"/>
    <w:rsid w:val="5F3C6126"/>
    <w:rsid w:val="5F49485F"/>
    <w:rsid w:val="5F4A141D"/>
    <w:rsid w:val="5F4B550F"/>
    <w:rsid w:val="5F542B74"/>
    <w:rsid w:val="5F6C1FAC"/>
    <w:rsid w:val="5F703D10"/>
    <w:rsid w:val="5F7E4DC7"/>
    <w:rsid w:val="5F887568"/>
    <w:rsid w:val="5FA10F8B"/>
    <w:rsid w:val="5FB2319F"/>
    <w:rsid w:val="5FB44FBA"/>
    <w:rsid w:val="5FDB63AC"/>
    <w:rsid w:val="5FF90DC7"/>
    <w:rsid w:val="601479AF"/>
    <w:rsid w:val="604858AA"/>
    <w:rsid w:val="60576A56"/>
    <w:rsid w:val="605D3104"/>
    <w:rsid w:val="60636AFE"/>
    <w:rsid w:val="608D5A3C"/>
    <w:rsid w:val="6093227F"/>
    <w:rsid w:val="609E0A40"/>
    <w:rsid w:val="60B371C8"/>
    <w:rsid w:val="60BB2A4D"/>
    <w:rsid w:val="60C03693"/>
    <w:rsid w:val="60C03E40"/>
    <w:rsid w:val="60C05441"/>
    <w:rsid w:val="611F600B"/>
    <w:rsid w:val="612105D5"/>
    <w:rsid w:val="6126799A"/>
    <w:rsid w:val="614815BC"/>
    <w:rsid w:val="614E0C9F"/>
    <w:rsid w:val="614F2A17"/>
    <w:rsid w:val="618741B1"/>
    <w:rsid w:val="61A06617"/>
    <w:rsid w:val="61A60ADB"/>
    <w:rsid w:val="61B10858"/>
    <w:rsid w:val="61B83A43"/>
    <w:rsid w:val="61D75138"/>
    <w:rsid w:val="61FA1E46"/>
    <w:rsid w:val="623E51B7"/>
    <w:rsid w:val="624027EA"/>
    <w:rsid w:val="62562501"/>
    <w:rsid w:val="625642AF"/>
    <w:rsid w:val="62586279"/>
    <w:rsid w:val="625D0734"/>
    <w:rsid w:val="62622E9D"/>
    <w:rsid w:val="627728B5"/>
    <w:rsid w:val="627A3EB2"/>
    <w:rsid w:val="628F77C1"/>
    <w:rsid w:val="62A3501A"/>
    <w:rsid w:val="62B0343B"/>
    <w:rsid w:val="62CA67E9"/>
    <w:rsid w:val="62D61577"/>
    <w:rsid w:val="62E01DCA"/>
    <w:rsid w:val="62FB05C2"/>
    <w:rsid w:val="63027872"/>
    <w:rsid w:val="63141A74"/>
    <w:rsid w:val="631D058D"/>
    <w:rsid w:val="63224191"/>
    <w:rsid w:val="632413EB"/>
    <w:rsid w:val="63251D62"/>
    <w:rsid w:val="632F68AE"/>
    <w:rsid w:val="634B27D5"/>
    <w:rsid w:val="636E5628"/>
    <w:rsid w:val="63714350"/>
    <w:rsid w:val="637E5958"/>
    <w:rsid w:val="639A7D4B"/>
    <w:rsid w:val="63A96C6A"/>
    <w:rsid w:val="63B84AF5"/>
    <w:rsid w:val="63BB5FFC"/>
    <w:rsid w:val="63CB140E"/>
    <w:rsid w:val="63D419DC"/>
    <w:rsid w:val="63D640D5"/>
    <w:rsid w:val="64126FEF"/>
    <w:rsid w:val="64137F7D"/>
    <w:rsid w:val="644A57F4"/>
    <w:rsid w:val="64550596"/>
    <w:rsid w:val="64A91D6C"/>
    <w:rsid w:val="64AB425E"/>
    <w:rsid w:val="64BC398A"/>
    <w:rsid w:val="64D947B6"/>
    <w:rsid w:val="64F85A4C"/>
    <w:rsid w:val="651D5558"/>
    <w:rsid w:val="65331E05"/>
    <w:rsid w:val="65393A14"/>
    <w:rsid w:val="653C6C31"/>
    <w:rsid w:val="654035B4"/>
    <w:rsid w:val="6558033E"/>
    <w:rsid w:val="655820EC"/>
    <w:rsid w:val="656D37B1"/>
    <w:rsid w:val="656E7B61"/>
    <w:rsid w:val="65896F42"/>
    <w:rsid w:val="65A0368B"/>
    <w:rsid w:val="65A7062C"/>
    <w:rsid w:val="65AF040A"/>
    <w:rsid w:val="65B03592"/>
    <w:rsid w:val="65C300DD"/>
    <w:rsid w:val="65CA073B"/>
    <w:rsid w:val="65E120E1"/>
    <w:rsid w:val="65F17941"/>
    <w:rsid w:val="65F7333E"/>
    <w:rsid w:val="66176EF4"/>
    <w:rsid w:val="66344907"/>
    <w:rsid w:val="663F5A01"/>
    <w:rsid w:val="664E34EF"/>
    <w:rsid w:val="66501015"/>
    <w:rsid w:val="66573403"/>
    <w:rsid w:val="667A42E4"/>
    <w:rsid w:val="668D30D8"/>
    <w:rsid w:val="66C315BA"/>
    <w:rsid w:val="66D61A67"/>
    <w:rsid w:val="66E83943"/>
    <w:rsid w:val="66ED2BAA"/>
    <w:rsid w:val="66F0216D"/>
    <w:rsid w:val="670F0ED0"/>
    <w:rsid w:val="671B5001"/>
    <w:rsid w:val="672F3A68"/>
    <w:rsid w:val="672F6514"/>
    <w:rsid w:val="67303483"/>
    <w:rsid w:val="67377E30"/>
    <w:rsid w:val="674D37A6"/>
    <w:rsid w:val="67545E9D"/>
    <w:rsid w:val="6756600B"/>
    <w:rsid w:val="67813B5D"/>
    <w:rsid w:val="678B17DF"/>
    <w:rsid w:val="67950A6A"/>
    <w:rsid w:val="679E5A66"/>
    <w:rsid w:val="679F04A6"/>
    <w:rsid w:val="67EB7247"/>
    <w:rsid w:val="67FC4CA3"/>
    <w:rsid w:val="680F6ECB"/>
    <w:rsid w:val="6810519A"/>
    <w:rsid w:val="68211E22"/>
    <w:rsid w:val="683C7AA3"/>
    <w:rsid w:val="686D5EAE"/>
    <w:rsid w:val="689E2CB0"/>
    <w:rsid w:val="68A51AEC"/>
    <w:rsid w:val="68B41D2F"/>
    <w:rsid w:val="68CA77A4"/>
    <w:rsid w:val="68D67EF7"/>
    <w:rsid w:val="68EA02F4"/>
    <w:rsid w:val="68EC23C5"/>
    <w:rsid w:val="68FC5FFB"/>
    <w:rsid w:val="68FD1F30"/>
    <w:rsid w:val="69252C2D"/>
    <w:rsid w:val="692A3D9F"/>
    <w:rsid w:val="692C0D1B"/>
    <w:rsid w:val="6940006C"/>
    <w:rsid w:val="69462425"/>
    <w:rsid w:val="69591307"/>
    <w:rsid w:val="69800BB4"/>
    <w:rsid w:val="698D6225"/>
    <w:rsid w:val="69E51D4E"/>
    <w:rsid w:val="69F263A9"/>
    <w:rsid w:val="69FC0316"/>
    <w:rsid w:val="6A1C5DDE"/>
    <w:rsid w:val="6A266891"/>
    <w:rsid w:val="6A3D7B02"/>
    <w:rsid w:val="6A531EC3"/>
    <w:rsid w:val="6A694D9B"/>
    <w:rsid w:val="6A6A2750"/>
    <w:rsid w:val="6A773EE1"/>
    <w:rsid w:val="6A983321"/>
    <w:rsid w:val="6A9E2C97"/>
    <w:rsid w:val="6AB44268"/>
    <w:rsid w:val="6AC124E1"/>
    <w:rsid w:val="6ACB20FD"/>
    <w:rsid w:val="6AD2649C"/>
    <w:rsid w:val="6AD541DF"/>
    <w:rsid w:val="6ADD43B6"/>
    <w:rsid w:val="6AEA5EDC"/>
    <w:rsid w:val="6AEC7CB1"/>
    <w:rsid w:val="6AF723A7"/>
    <w:rsid w:val="6B0A032C"/>
    <w:rsid w:val="6B0F4CDD"/>
    <w:rsid w:val="6B182A49"/>
    <w:rsid w:val="6B1B7FBE"/>
    <w:rsid w:val="6B4355EC"/>
    <w:rsid w:val="6B5D1BBB"/>
    <w:rsid w:val="6B6762D7"/>
    <w:rsid w:val="6B86130F"/>
    <w:rsid w:val="6BB14B21"/>
    <w:rsid w:val="6BBF056D"/>
    <w:rsid w:val="6BCC3834"/>
    <w:rsid w:val="6BD76475"/>
    <w:rsid w:val="6BEA6B80"/>
    <w:rsid w:val="6BF6440D"/>
    <w:rsid w:val="6C3171FA"/>
    <w:rsid w:val="6C397AD4"/>
    <w:rsid w:val="6C5630FD"/>
    <w:rsid w:val="6C63276D"/>
    <w:rsid w:val="6C690350"/>
    <w:rsid w:val="6C6B0126"/>
    <w:rsid w:val="6C6C31B3"/>
    <w:rsid w:val="6C6E378B"/>
    <w:rsid w:val="6C7D4B2E"/>
    <w:rsid w:val="6C871509"/>
    <w:rsid w:val="6CB1488E"/>
    <w:rsid w:val="6CC74CFD"/>
    <w:rsid w:val="6CCE7137"/>
    <w:rsid w:val="6CE30E35"/>
    <w:rsid w:val="6CF44DF0"/>
    <w:rsid w:val="6CF8099E"/>
    <w:rsid w:val="6CFE3730"/>
    <w:rsid w:val="6D1612D0"/>
    <w:rsid w:val="6D327EB6"/>
    <w:rsid w:val="6D350F65"/>
    <w:rsid w:val="6D3C22F3"/>
    <w:rsid w:val="6D52078A"/>
    <w:rsid w:val="6D554F4D"/>
    <w:rsid w:val="6D592EA5"/>
    <w:rsid w:val="6D8D4598"/>
    <w:rsid w:val="6D8E2AD7"/>
    <w:rsid w:val="6D925FBF"/>
    <w:rsid w:val="6D982231"/>
    <w:rsid w:val="6DB9605E"/>
    <w:rsid w:val="6DCC4D79"/>
    <w:rsid w:val="6DCE61C3"/>
    <w:rsid w:val="6DCF5551"/>
    <w:rsid w:val="6DD62748"/>
    <w:rsid w:val="6DF80C68"/>
    <w:rsid w:val="6E0E3C8F"/>
    <w:rsid w:val="6E0E7D41"/>
    <w:rsid w:val="6E1A5C83"/>
    <w:rsid w:val="6E2473DB"/>
    <w:rsid w:val="6E3541D0"/>
    <w:rsid w:val="6E4B4B1B"/>
    <w:rsid w:val="6E512686"/>
    <w:rsid w:val="6E57359B"/>
    <w:rsid w:val="6E7048DD"/>
    <w:rsid w:val="6EA2087C"/>
    <w:rsid w:val="6EB0599B"/>
    <w:rsid w:val="6EB9634B"/>
    <w:rsid w:val="6EBB5DD8"/>
    <w:rsid w:val="6ECD711A"/>
    <w:rsid w:val="6EF74724"/>
    <w:rsid w:val="6F070212"/>
    <w:rsid w:val="6F0B6CBF"/>
    <w:rsid w:val="6F0E3943"/>
    <w:rsid w:val="6F1902DC"/>
    <w:rsid w:val="6F365E0D"/>
    <w:rsid w:val="6F701D9E"/>
    <w:rsid w:val="6F771577"/>
    <w:rsid w:val="6FA74F93"/>
    <w:rsid w:val="6FE3114C"/>
    <w:rsid w:val="6FE771E8"/>
    <w:rsid w:val="6FF003F1"/>
    <w:rsid w:val="6FFD220E"/>
    <w:rsid w:val="6FFE7D34"/>
    <w:rsid w:val="700215D2"/>
    <w:rsid w:val="70033D6E"/>
    <w:rsid w:val="70090BB2"/>
    <w:rsid w:val="70333A0F"/>
    <w:rsid w:val="703616DA"/>
    <w:rsid w:val="70673B2B"/>
    <w:rsid w:val="70B0102E"/>
    <w:rsid w:val="70C96594"/>
    <w:rsid w:val="70CC1DE0"/>
    <w:rsid w:val="70D13A20"/>
    <w:rsid w:val="70D95F92"/>
    <w:rsid w:val="70F25AEA"/>
    <w:rsid w:val="70FD35B7"/>
    <w:rsid w:val="71145A61"/>
    <w:rsid w:val="71172F17"/>
    <w:rsid w:val="71291208"/>
    <w:rsid w:val="71333A0D"/>
    <w:rsid w:val="71492652"/>
    <w:rsid w:val="715A4A10"/>
    <w:rsid w:val="71611723"/>
    <w:rsid w:val="716A38D3"/>
    <w:rsid w:val="717422A8"/>
    <w:rsid w:val="717B2649"/>
    <w:rsid w:val="717B3825"/>
    <w:rsid w:val="717B788E"/>
    <w:rsid w:val="718030F6"/>
    <w:rsid w:val="71804F9B"/>
    <w:rsid w:val="718B2ABC"/>
    <w:rsid w:val="71A6516F"/>
    <w:rsid w:val="71E13469"/>
    <w:rsid w:val="71EB2684"/>
    <w:rsid w:val="72045D7F"/>
    <w:rsid w:val="72084CEF"/>
    <w:rsid w:val="72340631"/>
    <w:rsid w:val="724177ED"/>
    <w:rsid w:val="726A61D1"/>
    <w:rsid w:val="729D1A86"/>
    <w:rsid w:val="72C25048"/>
    <w:rsid w:val="72C963D7"/>
    <w:rsid w:val="72D343D3"/>
    <w:rsid w:val="73060483"/>
    <w:rsid w:val="730C05F8"/>
    <w:rsid w:val="732B52E4"/>
    <w:rsid w:val="733C4DFB"/>
    <w:rsid w:val="733F2B3D"/>
    <w:rsid w:val="7346211D"/>
    <w:rsid w:val="735B0E4A"/>
    <w:rsid w:val="73631BF9"/>
    <w:rsid w:val="737F3633"/>
    <w:rsid w:val="738547C8"/>
    <w:rsid w:val="73A40BF2"/>
    <w:rsid w:val="73A66881"/>
    <w:rsid w:val="73AE2B08"/>
    <w:rsid w:val="73DB2866"/>
    <w:rsid w:val="73DD6D17"/>
    <w:rsid w:val="73E21E46"/>
    <w:rsid w:val="73F720C5"/>
    <w:rsid w:val="741D14C7"/>
    <w:rsid w:val="74251D33"/>
    <w:rsid w:val="744F337F"/>
    <w:rsid w:val="74674561"/>
    <w:rsid w:val="746A599D"/>
    <w:rsid w:val="747F58E7"/>
    <w:rsid w:val="748A7DE8"/>
    <w:rsid w:val="74960605"/>
    <w:rsid w:val="74970D43"/>
    <w:rsid w:val="74B669EC"/>
    <w:rsid w:val="74B9593C"/>
    <w:rsid w:val="74BA06CD"/>
    <w:rsid w:val="74C4154C"/>
    <w:rsid w:val="74CB0B2C"/>
    <w:rsid w:val="74D01C2F"/>
    <w:rsid w:val="74F32D33"/>
    <w:rsid w:val="751029E3"/>
    <w:rsid w:val="7510653F"/>
    <w:rsid w:val="75241FEA"/>
    <w:rsid w:val="752828BC"/>
    <w:rsid w:val="75330480"/>
    <w:rsid w:val="754461E9"/>
    <w:rsid w:val="75797AA8"/>
    <w:rsid w:val="75852D0F"/>
    <w:rsid w:val="75A57AB8"/>
    <w:rsid w:val="75BA64AB"/>
    <w:rsid w:val="75BC66C7"/>
    <w:rsid w:val="75D450C3"/>
    <w:rsid w:val="75D90202"/>
    <w:rsid w:val="75DD022C"/>
    <w:rsid w:val="75EA45E1"/>
    <w:rsid w:val="75EB48B6"/>
    <w:rsid w:val="76116A13"/>
    <w:rsid w:val="761E236B"/>
    <w:rsid w:val="764D731F"/>
    <w:rsid w:val="76500BBD"/>
    <w:rsid w:val="76740D50"/>
    <w:rsid w:val="76861364"/>
    <w:rsid w:val="76A06B52"/>
    <w:rsid w:val="76A27E11"/>
    <w:rsid w:val="76AB5F3E"/>
    <w:rsid w:val="76AB73C0"/>
    <w:rsid w:val="76C0207E"/>
    <w:rsid w:val="76DA3479"/>
    <w:rsid w:val="76E16C86"/>
    <w:rsid w:val="77073972"/>
    <w:rsid w:val="770B232B"/>
    <w:rsid w:val="771340C5"/>
    <w:rsid w:val="771633FD"/>
    <w:rsid w:val="7718459C"/>
    <w:rsid w:val="771A5453"/>
    <w:rsid w:val="775B578F"/>
    <w:rsid w:val="7773161D"/>
    <w:rsid w:val="777D4E66"/>
    <w:rsid w:val="7780263D"/>
    <w:rsid w:val="77946188"/>
    <w:rsid w:val="779E7169"/>
    <w:rsid w:val="77A57D8F"/>
    <w:rsid w:val="77A85155"/>
    <w:rsid w:val="77B07B65"/>
    <w:rsid w:val="77C62989"/>
    <w:rsid w:val="77D81749"/>
    <w:rsid w:val="77DF4DFB"/>
    <w:rsid w:val="77E54297"/>
    <w:rsid w:val="77ED700C"/>
    <w:rsid w:val="77F622BE"/>
    <w:rsid w:val="78001221"/>
    <w:rsid w:val="78057634"/>
    <w:rsid w:val="780F0D30"/>
    <w:rsid w:val="781168C3"/>
    <w:rsid w:val="781619F8"/>
    <w:rsid w:val="7819395D"/>
    <w:rsid w:val="78197E01"/>
    <w:rsid w:val="781C169F"/>
    <w:rsid w:val="782642CC"/>
    <w:rsid w:val="782F13D2"/>
    <w:rsid w:val="782F3180"/>
    <w:rsid w:val="784D6120"/>
    <w:rsid w:val="786170B2"/>
    <w:rsid w:val="786F7A21"/>
    <w:rsid w:val="78730A54"/>
    <w:rsid w:val="7882110A"/>
    <w:rsid w:val="78893A1E"/>
    <w:rsid w:val="789B25C4"/>
    <w:rsid w:val="789E20B4"/>
    <w:rsid w:val="78AD10C5"/>
    <w:rsid w:val="78B66465"/>
    <w:rsid w:val="78E240B3"/>
    <w:rsid w:val="78E5576C"/>
    <w:rsid w:val="78E61264"/>
    <w:rsid w:val="78F00C0D"/>
    <w:rsid w:val="790020B8"/>
    <w:rsid w:val="790E548B"/>
    <w:rsid w:val="7912390B"/>
    <w:rsid w:val="79200D1B"/>
    <w:rsid w:val="792B772B"/>
    <w:rsid w:val="794B764A"/>
    <w:rsid w:val="796E14ED"/>
    <w:rsid w:val="797B51D8"/>
    <w:rsid w:val="797D43BF"/>
    <w:rsid w:val="798474FC"/>
    <w:rsid w:val="798B43D9"/>
    <w:rsid w:val="79996ACA"/>
    <w:rsid w:val="79A454A8"/>
    <w:rsid w:val="79B55907"/>
    <w:rsid w:val="79B871A5"/>
    <w:rsid w:val="79DF0BD6"/>
    <w:rsid w:val="79E07F17"/>
    <w:rsid w:val="79FC52E4"/>
    <w:rsid w:val="7A1C7734"/>
    <w:rsid w:val="7A2D7B93"/>
    <w:rsid w:val="7A3D037B"/>
    <w:rsid w:val="7A3F3D8D"/>
    <w:rsid w:val="7A4470D4"/>
    <w:rsid w:val="7A4520D7"/>
    <w:rsid w:val="7A50583C"/>
    <w:rsid w:val="7A6510DB"/>
    <w:rsid w:val="7A710169"/>
    <w:rsid w:val="7A773AE4"/>
    <w:rsid w:val="7A8B6668"/>
    <w:rsid w:val="7AB4162F"/>
    <w:rsid w:val="7AC72368"/>
    <w:rsid w:val="7ACB4EA3"/>
    <w:rsid w:val="7AD93877"/>
    <w:rsid w:val="7AE8016D"/>
    <w:rsid w:val="7AF16E13"/>
    <w:rsid w:val="7B0C77A9"/>
    <w:rsid w:val="7B0F21BC"/>
    <w:rsid w:val="7B2769F8"/>
    <w:rsid w:val="7B306F21"/>
    <w:rsid w:val="7B320CAA"/>
    <w:rsid w:val="7B552FBE"/>
    <w:rsid w:val="7B564EC8"/>
    <w:rsid w:val="7B707D38"/>
    <w:rsid w:val="7B7E5F17"/>
    <w:rsid w:val="7BC938EC"/>
    <w:rsid w:val="7BCD6AB8"/>
    <w:rsid w:val="7BF83695"/>
    <w:rsid w:val="7C2700CB"/>
    <w:rsid w:val="7C2A25DC"/>
    <w:rsid w:val="7C333FF5"/>
    <w:rsid w:val="7C37730F"/>
    <w:rsid w:val="7C694787"/>
    <w:rsid w:val="7C81229D"/>
    <w:rsid w:val="7C8B0BA1"/>
    <w:rsid w:val="7C90012C"/>
    <w:rsid w:val="7C907F65"/>
    <w:rsid w:val="7CAB2FF1"/>
    <w:rsid w:val="7CBF2656"/>
    <w:rsid w:val="7CC12815"/>
    <w:rsid w:val="7CE320CE"/>
    <w:rsid w:val="7CE54E37"/>
    <w:rsid w:val="7CF130FA"/>
    <w:rsid w:val="7CFF1D6D"/>
    <w:rsid w:val="7CFF37DC"/>
    <w:rsid w:val="7D200F98"/>
    <w:rsid w:val="7D3D47BF"/>
    <w:rsid w:val="7D4F20A3"/>
    <w:rsid w:val="7D535A69"/>
    <w:rsid w:val="7D567855"/>
    <w:rsid w:val="7D6C4EE0"/>
    <w:rsid w:val="7D6E1563"/>
    <w:rsid w:val="7D755A7D"/>
    <w:rsid w:val="7D787289"/>
    <w:rsid w:val="7DB27D69"/>
    <w:rsid w:val="7DC71AD9"/>
    <w:rsid w:val="7DC9372F"/>
    <w:rsid w:val="7DC97BD3"/>
    <w:rsid w:val="7DD72298"/>
    <w:rsid w:val="7DDA593C"/>
    <w:rsid w:val="7DDF73F6"/>
    <w:rsid w:val="7E0E55E6"/>
    <w:rsid w:val="7E184647"/>
    <w:rsid w:val="7E3A63DB"/>
    <w:rsid w:val="7E4A68BE"/>
    <w:rsid w:val="7E812189"/>
    <w:rsid w:val="7E8B0C95"/>
    <w:rsid w:val="7E9E696A"/>
    <w:rsid w:val="7EAB20D0"/>
    <w:rsid w:val="7EB10D93"/>
    <w:rsid w:val="7EB75C58"/>
    <w:rsid w:val="7ED405DD"/>
    <w:rsid w:val="7ED56104"/>
    <w:rsid w:val="7EDD19DD"/>
    <w:rsid w:val="7EE54599"/>
    <w:rsid w:val="7EFE20F8"/>
    <w:rsid w:val="7F054C3B"/>
    <w:rsid w:val="7F1430D0"/>
    <w:rsid w:val="7F17671C"/>
    <w:rsid w:val="7F3D16FA"/>
    <w:rsid w:val="7F405C73"/>
    <w:rsid w:val="7F4B049E"/>
    <w:rsid w:val="7F533BF8"/>
    <w:rsid w:val="7F5D4923"/>
    <w:rsid w:val="7F60187B"/>
    <w:rsid w:val="7F6F4BD9"/>
    <w:rsid w:val="7F751B65"/>
    <w:rsid w:val="7F932247"/>
    <w:rsid w:val="7F9E2999"/>
    <w:rsid w:val="7FA44454"/>
    <w:rsid w:val="7FBE77DB"/>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iPriority="99"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autoRedefine/>
    <w:qFormat/>
    <w:uiPriority w:val="0"/>
    <w:pPr>
      <w:keepNext/>
      <w:jc w:val="left"/>
      <w:outlineLvl w:val="0"/>
    </w:pPr>
    <w:rPr>
      <w:b/>
      <w:sz w:val="24"/>
    </w:rPr>
  </w:style>
  <w:style w:type="paragraph" w:styleId="6">
    <w:name w:val="heading 2"/>
    <w:basedOn w:val="1"/>
    <w:next w:val="7"/>
    <w:autoRedefine/>
    <w:qFormat/>
    <w:uiPriority w:val="0"/>
    <w:pPr>
      <w:keepNext/>
      <w:jc w:val="center"/>
      <w:outlineLvl w:val="1"/>
    </w:pPr>
    <w:rPr>
      <w:rFonts w:ascii="仿宋_GB2312"/>
      <w:sz w:val="30"/>
    </w:rPr>
  </w:style>
  <w:style w:type="paragraph" w:styleId="8">
    <w:name w:val="heading 3"/>
    <w:basedOn w:val="1"/>
    <w:next w:val="1"/>
    <w:autoRedefine/>
    <w:qFormat/>
    <w:uiPriority w:val="0"/>
    <w:pPr>
      <w:keepNext/>
      <w:outlineLvl w:val="2"/>
    </w:pPr>
    <w:rPr>
      <w:rFonts w:ascii="宋体"/>
      <w:sz w:val="32"/>
    </w:rPr>
  </w:style>
  <w:style w:type="paragraph" w:styleId="9">
    <w:name w:val="heading 4"/>
    <w:basedOn w:val="1"/>
    <w:next w:val="1"/>
    <w:autoRedefine/>
    <w:qFormat/>
    <w:uiPriority w:val="0"/>
    <w:pPr>
      <w:keepNext/>
      <w:keepLines/>
      <w:adjustRightInd w:val="0"/>
      <w:spacing w:before="280" w:after="290" w:line="376" w:lineRule="atLeast"/>
      <w:jc w:val="left"/>
      <w:textAlignment w:val="baseline"/>
      <w:outlineLvl w:val="3"/>
    </w:pPr>
    <w:rPr>
      <w:rFonts w:eastAsia="Times New Roman"/>
      <w:kern w:val="0"/>
      <w:sz w:val="20"/>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autoRedefine/>
    <w:qFormat/>
    <w:uiPriority w:val="0"/>
    <w:pPr>
      <w:adjustRightInd w:val="0"/>
    </w:pPr>
    <w:rPr>
      <w:rFonts w:ascii="宋体" w:hAnsi="Courier New"/>
      <w:szCs w:val="20"/>
    </w:rPr>
  </w:style>
  <w:style w:type="paragraph" w:customStyle="1" w:styleId="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7">
    <w:name w:val="Normal Indent"/>
    <w:basedOn w:val="1"/>
    <w:next w:val="1"/>
    <w:link w:val="66"/>
    <w:autoRedefine/>
    <w:qFormat/>
    <w:uiPriority w:val="0"/>
    <w:pPr>
      <w:ind w:firstLine="420" w:firstLineChars="200"/>
    </w:pPr>
  </w:style>
  <w:style w:type="paragraph" w:styleId="10">
    <w:name w:val="caption"/>
    <w:basedOn w:val="1"/>
    <w:next w:val="1"/>
    <w:autoRedefine/>
    <w:qFormat/>
    <w:uiPriority w:val="0"/>
    <w:pPr>
      <w:keepNext/>
      <w:snapToGrid w:val="0"/>
      <w:jc w:val="center"/>
    </w:pPr>
    <w:rPr>
      <w:rFonts w:ascii="宋体" w:hAnsi="宋体"/>
    </w:rPr>
  </w:style>
  <w:style w:type="paragraph" w:styleId="11">
    <w:name w:val="Document Map"/>
    <w:basedOn w:val="1"/>
    <w:link w:val="60"/>
    <w:autoRedefine/>
    <w:qFormat/>
    <w:uiPriority w:val="0"/>
    <w:rPr>
      <w:rFonts w:ascii="宋体"/>
      <w:sz w:val="18"/>
      <w:szCs w:val="18"/>
    </w:rPr>
  </w:style>
  <w:style w:type="paragraph" w:styleId="12">
    <w:name w:val="annotation text"/>
    <w:basedOn w:val="1"/>
    <w:link w:val="63"/>
    <w:autoRedefine/>
    <w:qFormat/>
    <w:uiPriority w:val="0"/>
    <w:pPr>
      <w:jc w:val="left"/>
    </w:pPr>
  </w:style>
  <w:style w:type="paragraph" w:styleId="13">
    <w:name w:val="Body Text"/>
    <w:basedOn w:val="1"/>
    <w:next w:val="1"/>
    <w:link w:val="55"/>
    <w:autoRedefine/>
    <w:qFormat/>
    <w:uiPriority w:val="0"/>
    <w:pPr>
      <w:jc w:val="center"/>
    </w:pPr>
    <w:rPr>
      <w:sz w:val="24"/>
    </w:rPr>
  </w:style>
  <w:style w:type="paragraph" w:styleId="14">
    <w:name w:val="Body Text Indent"/>
    <w:basedOn w:val="1"/>
    <w:link w:val="51"/>
    <w:autoRedefine/>
    <w:qFormat/>
    <w:uiPriority w:val="0"/>
    <w:pPr>
      <w:ind w:firstLine="480"/>
    </w:pPr>
    <w:rPr>
      <w:sz w:val="24"/>
    </w:rPr>
  </w:style>
  <w:style w:type="paragraph" w:styleId="15">
    <w:name w:val="Block Text"/>
    <w:basedOn w:val="1"/>
    <w:autoRedefine/>
    <w:qFormat/>
    <w:uiPriority w:val="99"/>
    <w:pPr>
      <w:spacing w:line="440" w:lineRule="exact"/>
      <w:ind w:left="113" w:right="113" w:firstLine="567"/>
    </w:pPr>
    <w:rPr>
      <w:rFonts w:ascii="仿宋_GB2312" w:eastAsia="仿宋_GB2312"/>
      <w:sz w:val="28"/>
    </w:rPr>
  </w:style>
  <w:style w:type="paragraph" w:styleId="16">
    <w:name w:val="Plain Text"/>
    <w:basedOn w:val="1"/>
    <w:next w:val="1"/>
    <w:link w:val="47"/>
    <w:autoRedefine/>
    <w:qFormat/>
    <w:uiPriority w:val="0"/>
    <w:rPr>
      <w:rFonts w:ascii="Calibri" w:hAnsi="Calibri"/>
      <w:sz w:val="24"/>
      <w:szCs w:val="22"/>
    </w:rPr>
  </w:style>
  <w:style w:type="paragraph" w:styleId="17">
    <w:name w:val="Date"/>
    <w:basedOn w:val="1"/>
    <w:next w:val="1"/>
    <w:autoRedefine/>
    <w:qFormat/>
    <w:uiPriority w:val="0"/>
    <w:rPr>
      <w:b/>
      <w:sz w:val="32"/>
    </w:rPr>
  </w:style>
  <w:style w:type="paragraph" w:styleId="18">
    <w:name w:val="Body Text Indent 2"/>
    <w:basedOn w:val="1"/>
    <w:next w:val="19"/>
    <w:autoRedefine/>
    <w:qFormat/>
    <w:uiPriority w:val="0"/>
    <w:pPr>
      <w:framePr w:w="9122" w:h="13111" w:hSpace="180" w:wrap="around" w:vAnchor="text" w:hAnchor="page" w:x="1479" w:y="151"/>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9">
    <w:name w:val="Body Text First Indent 2"/>
    <w:basedOn w:val="1"/>
    <w:next w:val="1"/>
    <w:autoRedefine/>
    <w:qFormat/>
    <w:uiPriority w:val="0"/>
    <w:pPr>
      <w:ind w:firstLine="420" w:firstLineChars="200"/>
    </w:pPr>
  </w:style>
  <w:style w:type="paragraph" w:styleId="20">
    <w:name w:val="Balloon Text"/>
    <w:basedOn w:val="1"/>
    <w:link w:val="57"/>
    <w:autoRedefine/>
    <w:qFormat/>
    <w:uiPriority w:val="0"/>
    <w:rPr>
      <w:sz w:val="18"/>
      <w:szCs w:val="18"/>
    </w:rPr>
  </w:style>
  <w:style w:type="paragraph" w:styleId="21">
    <w:name w:val="footer"/>
    <w:basedOn w:val="1"/>
    <w:autoRedefine/>
    <w:qFormat/>
    <w:uiPriority w:val="0"/>
    <w:pPr>
      <w:tabs>
        <w:tab w:val="center" w:pos="4153"/>
        <w:tab w:val="right" w:pos="8306"/>
      </w:tabs>
      <w:snapToGrid w:val="0"/>
      <w:jc w:val="left"/>
    </w:pPr>
    <w:rPr>
      <w:sz w:val="18"/>
    </w:rPr>
  </w:style>
  <w:style w:type="paragraph" w:styleId="22">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autoRedefine/>
    <w:qFormat/>
    <w:uiPriority w:val="39"/>
    <w:pPr>
      <w:tabs>
        <w:tab w:val="right" w:leader="dot" w:pos="9344"/>
      </w:tabs>
    </w:pPr>
    <w:rPr>
      <w:rFonts w:ascii="黑体" w:hAnsi="宋体" w:eastAsia="黑体"/>
      <w:kern w:val="0"/>
      <w:szCs w:val="32"/>
      <w:lang w:bidi="he-IL"/>
    </w:rPr>
  </w:style>
  <w:style w:type="paragraph" w:styleId="24">
    <w:name w:val="List"/>
    <w:basedOn w:val="1"/>
    <w:autoRedefine/>
    <w:unhideWhenUsed/>
    <w:qFormat/>
    <w:uiPriority w:val="99"/>
    <w:pPr>
      <w:ind w:left="200" w:hanging="200" w:hangingChars="200"/>
      <w:contextualSpacing/>
    </w:pPr>
  </w:style>
  <w:style w:type="paragraph" w:styleId="25">
    <w:name w:val="toc 2"/>
    <w:basedOn w:val="1"/>
    <w:next w:val="1"/>
    <w:autoRedefine/>
    <w:qFormat/>
    <w:uiPriority w:val="0"/>
    <w:pPr>
      <w:ind w:left="420" w:leftChars="200"/>
    </w:pPr>
    <w:rPr>
      <w:szCs w:val="24"/>
    </w:rPr>
  </w:style>
  <w:style w:type="paragraph" w:styleId="26">
    <w:name w:val="toc 9"/>
    <w:basedOn w:val="1"/>
    <w:next w:val="1"/>
    <w:autoRedefine/>
    <w:qFormat/>
    <w:uiPriority w:val="0"/>
    <w:pPr>
      <w:ind w:left="1680"/>
      <w:jc w:val="left"/>
    </w:pPr>
    <w:rPr>
      <w:sz w:val="18"/>
      <w:szCs w:val="18"/>
    </w:rPr>
  </w:style>
  <w:style w:type="paragraph" w:styleId="27">
    <w:name w:val="Body Text 2"/>
    <w:basedOn w:val="1"/>
    <w:autoRedefine/>
    <w:qFormat/>
    <w:uiPriority w:val="0"/>
    <w:pPr>
      <w:jc w:val="right"/>
    </w:pPr>
    <w:rPr>
      <w:sz w:val="24"/>
    </w:rPr>
  </w:style>
  <w:style w:type="paragraph" w:styleId="28">
    <w:name w:val="HTML Preformatted"/>
    <w:basedOn w:val="1"/>
    <w:link w:val="99"/>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9">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0">
    <w:name w:val="annotation subject"/>
    <w:basedOn w:val="12"/>
    <w:next w:val="12"/>
    <w:link w:val="52"/>
    <w:autoRedefine/>
    <w:qFormat/>
    <w:uiPriority w:val="0"/>
    <w:rPr>
      <w:b/>
      <w:bCs/>
    </w:rPr>
  </w:style>
  <w:style w:type="paragraph" w:styleId="31">
    <w:name w:val="Body Text First Indent"/>
    <w:basedOn w:val="13"/>
    <w:next w:val="1"/>
    <w:link w:val="93"/>
    <w:autoRedefine/>
    <w:unhideWhenUsed/>
    <w:qFormat/>
    <w:uiPriority w:val="0"/>
    <w:pPr>
      <w:spacing w:after="120"/>
      <w:ind w:firstLine="420" w:firstLineChars="100"/>
      <w:jc w:val="both"/>
    </w:pPr>
    <w:rPr>
      <w:sz w:val="21"/>
    </w:rPr>
  </w:style>
  <w:style w:type="table" w:styleId="33">
    <w:name w:val="Table Grid"/>
    <w:basedOn w:val="3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autoRedefine/>
    <w:qFormat/>
    <w:uiPriority w:val="0"/>
  </w:style>
  <w:style w:type="character" w:styleId="36">
    <w:name w:val="Hyperlink"/>
    <w:autoRedefine/>
    <w:qFormat/>
    <w:uiPriority w:val="0"/>
    <w:rPr>
      <w:color w:val="0000FF"/>
      <w:u w:val="single"/>
    </w:rPr>
  </w:style>
  <w:style w:type="character" w:styleId="37">
    <w:name w:val="annotation reference"/>
    <w:autoRedefine/>
    <w:qFormat/>
    <w:uiPriority w:val="0"/>
    <w:rPr>
      <w:sz w:val="21"/>
      <w:szCs w:val="21"/>
    </w:rPr>
  </w:style>
  <w:style w:type="paragraph" w:customStyle="1" w:styleId="38">
    <w:name w:val="Default1"/>
    <w:basedOn w:val="39"/>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4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41">
    <w:name w:val="正文小四 Char"/>
    <w:link w:val="42"/>
    <w:autoRedefine/>
    <w:qFormat/>
    <w:uiPriority w:val="0"/>
    <w:rPr>
      <w:kern w:val="2"/>
      <w:sz w:val="24"/>
      <w:lang w:bidi="ar-SA"/>
    </w:rPr>
  </w:style>
  <w:style w:type="paragraph" w:customStyle="1" w:styleId="42">
    <w:name w:val="正文小四"/>
    <w:link w:val="41"/>
    <w:autoRedefine/>
    <w:qFormat/>
    <w:uiPriority w:val="0"/>
    <w:pPr>
      <w:spacing w:line="360" w:lineRule="auto"/>
      <w:ind w:firstLine="200" w:firstLineChars="200"/>
    </w:pPr>
    <w:rPr>
      <w:rFonts w:ascii="Times New Roman" w:hAnsi="Times New Roman" w:eastAsia="Times New Roman" w:cs="Times New Roman"/>
      <w:kern w:val="2"/>
      <w:sz w:val="24"/>
      <w:lang w:val="en-US" w:eastAsia="zh-CN" w:bidi="ar-SA"/>
    </w:rPr>
  </w:style>
  <w:style w:type="character" w:customStyle="1" w:styleId="43">
    <w:name w:val="表头样式1 Char"/>
    <w:link w:val="44"/>
    <w:autoRedefine/>
    <w:qFormat/>
    <w:uiPriority w:val="0"/>
    <w:rPr>
      <w:rFonts w:eastAsia="黑体"/>
      <w:b/>
      <w:kern w:val="2"/>
      <w:sz w:val="24"/>
      <w:lang w:bidi="ar-SA"/>
    </w:rPr>
  </w:style>
  <w:style w:type="paragraph" w:customStyle="1" w:styleId="44">
    <w:name w:val="表头样式1"/>
    <w:basedOn w:val="1"/>
    <w:link w:val="43"/>
    <w:autoRedefine/>
    <w:qFormat/>
    <w:uiPriority w:val="0"/>
    <w:pPr>
      <w:spacing w:after="80" w:line="480" w:lineRule="atLeast"/>
      <w:jc w:val="center"/>
    </w:pPr>
    <w:rPr>
      <w:rFonts w:eastAsia="黑体"/>
      <w:b/>
      <w:sz w:val="24"/>
    </w:rPr>
  </w:style>
  <w:style w:type="character" w:customStyle="1" w:styleId="45">
    <w:name w:val="表头 Char"/>
    <w:link w:val="46"/>
    <w:autoRedefine/>
    <w:qFormat/>
    <w:uiPriority w:val="0"/>
    <w:rPr>
      <w:rFonts w:eastAsia="黑体"/>
      <w:kern w:val="2"/>
      <w:sz w:val="24"/>
      <w:szCs w:val="24"/>
    </w:rPr>
  </w:style>
  <w:style w:type="paragraph" w:customStyle="1" w:styleId="46">
    <w:name w:val="表头"/>
    <w:basedOn w:val="10"/>
    <w:link w:val="45"/>
    <w:autoRedefine/>
    <w:qFormat/>
    <w:uiPriority w:val="0"/>
    <w:pPr>
      <w:adjustRightInd w:val="0"/>
      <w:spacing w:before="93" w:beforeLines="30" w:after="93" w:afterLines="30" w:line="440" w:lineRule="exact"/>
      <w:jc w:val="center"/>
      <w:textAlignment w:val="baseline"/>
    </w:pPr>
    <w:rPr>
      <w:rFonts w:eastAsia="黑体"/>
      <w:sz w:val="24"/>
      <w:szCs w:val="24"/>
    </w:rPr>
  </w:style>
  <w:style w:type="character" w:customStyle="1" w:styleId="47">
    <w:name w:val="纯文本 字符"/>
    <w:link w:val="16"/>
    <w:autoRedefine/>
    <w:qFormat/>
    <w:uiPriority w:val="0"/>
    <w:rPr>
      <w:rFonts w:ascii="Calibri" w:hAnsi="Calibri"/>
      <w:kern w:val="2"/>
      <w:sz w:val="24"/>
      <w:szCs w:val="22"/>
    </w:rPr>
  </w:style>
  <w:style w:type="character" w:customStyle="1" w:styleId="48">
    <w:name w:val="正文缩进 Char"/>
    <w:autoRedefine/>
    <w:qFormat/>
    <w:uiPriority w:val="0"/>
    <w:rPr>
      <w:rFonts w:eastAsia="宋体"/>
      <w:kern w:val="2"/>
      <w:sz w:val="21"/>
      <w:szCs w:val="24"/>
      <w:lang w:val="en-US" w:eastAsia="zh-CN" w:bidi="ar-SA"/>
    </w:rPr>
  </w:style>
  <w:style w:type="character" w:customStyle="1" w:styleId="49">
    <w:name w:val="报告表正文 Char"/>
    <w:link w:val="50"/>
    <w:autoRedefine/>
    <w:qFormat/>
    <w:uiPriority w:val="0"/>
    <w:rPr>
      <w:rFonts w:eastAsia="楷体_GB2312"/>
      <w:kern w:val="2"/>
      <w:sz w:val="24"/>
      <w:szCs w:val="24"/>
      <w:lang w:val="en-US" w:eastAsia="zh-CN" w:bidi="ar-SA"/>
    </w:rPr>
  </w:style>
  <w:style w:type="paragraph" w:customStyle="1" w:styleId="50">
    <w:name w:val="报告表正文"/>
    <w:basedOn w:val="1"/>
    <w:link w:val="49"/>
    <w:autoRedefine/>
    <w:qFormat/>
    <w:uiPriority w:val="0"/>
    <w:pPr>
      <w:spacing w:line="360" w:lineRule="auto"/>
      <w:ind w:firstLine="200" w:firstLineChars="200"/>
    </w:pPr>
    <w:rPr>
      <w:rFonts w:eastAsia="楷体_GB2312"/>
      <w:sz w:val="24"/>
      <w:szCs w:val="24"/>
    </w:rPr>
  </w:style>
  <w:style w:type="character" w:customStyle="1" w:styleId="51">
    <w:name w:val="正文文本缩进 字符"/>
    <w:link w:val="14"/>
    <w:autoRedefine/>
    <w:qFormat/>
    <w:uiPriority w:val="0"/>
    <w:rPr>
      <w:rFonts w:ascii="仿宋_GB2312" w:hAnsi="Times New Roman" w:eastAsia="仿宋_GB2312" w:cs="Times New Roman"/>
      <w:kern w:val="2"/>
      <w:sz w:val="28"/>
      <w:szCs w:val="24"/>
    </w:rPr>
  </w:style>
  <w:style w:type="character" w:customStyle="1" w:styleId="52">
    <w:name w:val="批注主题 字符"/>
    <w:link w:val="30"/>
    <w:autoRedefine/>
    <w:qFormat/>
    <w:uiPriority w:val="0"/>
    <w:rPr>
      <w:b/>
      <w:bCs/>
      <w:kern w:val="2"/>
      <w:sz w:val="21"/>
    </w:rPr>
  </w:style>
  <w:style w:type="character" w:customStyle="1" w:styleId="53">
    <w:name w:val="样式 环科院正文 Char Char + Times New Roman Char"/>
    <w:link w:val="54"/>
    <w:autoRedefine/>
    <w:qFormat/>
    <w:uiPriority w:val="0"/>
    <w:rPr>
      <w:rFonts w:eastAsia="宋体"/>
      <w:bCs/>
      <w:sz w:val="24"/>
      <w:szCs w:val="24"/>
      <w:lang w:val="en-US" w:eastAsia="zh-CN" w:bidi="ar-SA"/>
    </w:rPr>
  </w:style>
  <w:style w:type="paragraph" w:customStyle="1" w:styleId="54">
    <w:name w:val="样式 环科院正文 Char Char + Times New Roman"/>
    <w:basedOn w:val="1"/>
    <w:link w:val="53"/>
    <w:autoRedefine/>
    <w:qFormat/>
    <w:uiPriority w:val="0"/>
    <w:pPr>
      <w:spacing w:line="300" w:lineRule="auto"/>
      <w:ind w:firstLine="200" w:firstLineChars="200"/>
    </w:pPr>
    <w:rPr>
      <w:bCs/>
      <w:kern w:val="0"/>
      <w:sz w:val="24"/>
      <w:szCs w:val="24"/>
    </w:rPr>
  </w:style>
  <w:style w:type="character" w:customStyle="1" w:styleId="55">
    <w:name w:val="正文文本 字符"/>
    <w:link w:val="13"/>
    <w:autoRedefine/>
    <w:qFormat/>
    <w:uiPriority w:val="0"/>
    <w:rPr>
      <w:kern w:val="2"/>
      <w:sz w:val="24"/>
    </w:rPr>
  </w:style>
  <w:style w:type="character" w:customStyle="1" w:styleId="56">
    <w:name w:val="正文缩进 Char1"/>
    <w:autoRedefine/>
    <w:qFormat/>
    <w:uiPriority w:val="0"/>
    <w:rPr>
      <w:rFonts w:eastAsia="宋体"/>
      <w:kern w:val="2"/>
      <w:sz w:val="21"/>
      <w:lang w:val="en-US" w:eastAsia="zh-CN" w:bidi="ar-SA"/>
    </w:rPr>
  </w:style>
  <w:style w:type="character" w:customStyle="1" w:styleId="57">
    <w:name w:val="批注框文本 字符"/>
    <w:link w:val="20"/>
    <w:autoRedefine/>
    <w:qFormat/>
    <w:uiPriority w:val="0"/>
    <w:rPr>
      <w:rFonts w:eastAsia="宋体"/>
      <w:kern w:val="2"/>
      <w:sz w:val="18"/>
      <w:szCs w:val="18"/>
      <w:lang w:val="en-US" w:eastAsia="zh-CN" w:bidi="ar-SA"/>
    </w:rPr>
  </w:style>
  <w:style w:type="character" w:customStyle="1" w:styleId="58">
    <w:name w:val="环科院表格标题 Char"/>
    <w:link w:val="59"/>
    <w:autoRedefine/>
    <w:qFormat/>
    <w:uiPriority w:val="0"/>
    <w:rPr>
      <w:rFonts w:ascii="宋体" w:hAnsi="宋体" w:eastAsia="宋体"/>
      <w:b/>
      <w:sz w:val="24"/>
      <w:lang w:val="en-US" w:eastAsia="zh-CN" w:bidi="ar-SA"/>
    </w:rPr>
  </w:style>
  <w:style w:type="paragraph" w:customStyle="1" w:styleId="59">
    <w:name w:val="环科院表格标题"/>
    <w:basedOn w:val="1"/>
    <w:link w:val="58"/>
    <w:autoRedefine/>
    <w:qFormat/>
    <w:uiPriority w:val="0"/>
    <w:pPr>
      <w:jc w:val="center"/>
    </w:pPr>
    <w:rPr>
      <w:rFonts w:ascii="宋体" w:hAnsi="宋体"/>
      <w:b/>
      <w:kern w:val="0"/>
      <w:sz w:val="24"/>
    </w:rPr>
  </w:style>
  <w:style w:type="character" w:customStyle="1" w:styleId="60">
    <w:name w:val="文档结构图 字符"/>
    <w:link w:val="11"/>
    <w:autoRedefine/>
    <w:qFormat/>
    <w:uiPriority w:val="0"/>
    <w:rPr>
      <w:rFonts w:ascii="宋体"/>
      <w:kern w:val="2"/>
      <w:sz w:val="18"/>
      <w:szCs w:val="18"/>
    </w:rPr>
  </w:style>
  <w:style w:type="character" w:customStyle="1" w:styleId="61">
    <w:name w:val="正文1 Char"/>
    <w:link w:val="62"/>
    <w:autoRedefine/>
    <w:qFormat/>
    <w:uiPriority w:val="0"/>
    <w:rPr>
      <w:rFonts w:eastAsia="宋体"/>
      <w:color w:val="0000FF"/>
      <w:kern w:val="2"/>
      <w:sz w:val="28"/>
      <w:szCs w:val="24"/>
      <w:lang w:val="en-US" w:eastAsia="zh-CN" w:bidi="ar-SA"/>
    </w:rPr>
  </w:style>
  <w:style w:type="paragraph" w:customStyle="1" w:styleId="62">
    <w:name w:val="正文1"/>
    <w:basedOn w:val="1"/>
    <w:link w:val="61"/>
    <w:autoRedefine/>
    <w:qFormat/>
    <w:uiPriority w:val="0"/>
    <w:pPr>
      <w:adjustRightInd w:val="0"/>
      <w:snapToGrid w:val="0"/>
      <w:spacing w:line="360" w:lineRule="auto"/>
      <w:ind w:firstLine="200" w:firstLineChars="200"/>
    </w:pPr>
    <w:rPr>
      <w:color w:val="0000FF"/>
      <w:sz w:val="28"/>
      <w:szCs w:val="24"/>
    </w:rPr>
  </w:style>
  <w:style w:type="character" w:customStyle="1" w:styleId="63">
    <w:name w:val="批注文字 字符"/>
    <w:link w:val="12"/>
    <w:autoRedefine/>
    <w:qFormat/>
    <w:uiPriority w:val="0"/>
    <w:rPr>
      <w:kern w:val="2"/>
      <w:sz w:val="21"/>
    </w:rPr>
  </w:style>
  <w:style w:type="character" w:customStyle="1" w:styleId="64">
    <w:name w:val="表内格式 Char1"/>
    <w:link w:val="65"/>
    <w:autoRedefine/>
    <w:qFormat/>
    <w:uiPriority w:val="0"/>
    <w:rPr>
      <w:rFonts w:ascii="宋体"/>
      <w:kern w:val="2"/>
      <w:sz w:val="18"/>
    </w:rPr>
  </w:style>
  <w:style w:type="paragraph" w:customStyle="1" w:styleId="65">
    <w:name w:val="表内格式"/>
    <w:basedOn w:val="1"/>
    <w:link w:val="64"/>
    <w:autoRedefine/>
    <w:qFormat/>
    <w:uiPriority w:val="0"/>
    <w:pPr>
      <w:spacing w:line="280" w:lineRule="exact"/>
      <w:jc w:val="center"/>
    </w:pPr>
    <w:rPr>
      <w:rFonts w:ascii="宋体"/>
      <w:sz w:val="18"/>
    </w:rPr>
  </w:style>
  <w:style w:type="character" w:customStyle="1" w:styleId="66">
    <w:name w:val="正文缩进 字符"/>
    <w:link w:val="7"/>
    <w:autoRedefine/>
    <w:qFormat/>
    <w:uiPriority w:val="0"/>
    <w:rPr>
      <w:rFonts w:ascii="Times New Roman" w:hAnsi="Times New Roman" w:eastAsia="宋体" w:cs="Times New Roman"/>
      <w:kern w:val="2"/>
      <w:sz w:val="21"/>
    </w:rPr>
  </w:style>
  <w:style w:type="character" w:customStyle="1" w:styleId="67">
    <w:name w:val="标题 1 字符"/>
    <w:link w:val="5"/>
    <w:autoRedefine/>
    <w:qFormat/>
    <w:uiPriority w:val="0"/>
    <w:rPr>
      <w:b/>
      <w:kern w:val="2"/>
      <w:sz w:val="24"/>
    </w:rPr>
  </w:style>
  <w:style w:type="paragraph" w:customStyle="1" w:styleId="68">
    <w:name w:val="Char"/>
    <w:basedOn w:val="1"/>
    <w:autoRedefine/>
    <w:qFormat/>
    <w:uiPriority w:val="0"/>
    <w:pPr>
      <w:spacing w:line="360" w:lineRule="auto"/>
    </w:pPr>
    <w:rPr>
      <w:rFonts w:ascii="Tahoma" w:hAnsi="Tahoma"/>
      <w:sz w:val="28"/>
    </w:rPr>
  </w:style>
  <w:style w:type="paragraph" w:customStyle="1" w:styleId="69">
    <w:name w:val="样式 首行缩进"/>
    <w:basedOn w:val="1"/>
    <w:autoRedefine/>
    <w:qFormat/>
    <w:uiPriority w:val="0"/>
    <w:pPr>
      <w:spacing w:before="60" w:after="60" w:line="360" w:lineRule="auto"/>
      <w:ind w:firstLine="480" w:firstLineChars="200"/>
    </w:pPr>
    <w:rPr>
      <w:rFonts w:cs="宋体"/>
      <w:sz w:val="24"/>
    </w:rPr>
  </w:style>
  <w:style w:type="paragraph" w:customStyle="1" w:styleId="70">
    <w:name w:val="基准页眉样式"/>
    <w:basedOn w:val="1"/>
    <w:autoRedefine/>
    <w:qFormat/>
    <w:uiPriority w:val="0"/>
    <w:pPr>
      <w:jc w:val="center"/>
    </w:pPr>
    <w:rPr>
      <w:rFonts w:ascii="黑体" w:eastAsia="黑体"/>
      <w:bCs/>
      <w:spacing w:val="20"/>
      <w:w w:val="150"/>
      <w:sz w:val="30"/>
      <w:szCs w:val="30"/>
    </w:rPr>
  </w:style>
  <w:style w:type="paragraph" w:customStyle="1" w:styleId="71">
    <w:name w:val="Table Paragraph"/>
    <w:basedOn w:val="1"/>
    <w:autoRedefine/>
    <w:qFormat/>
    <w:uiPriority w:val="1"/>
    <w:pPr>
      <w:jc w:val="left"/>
    </w:pPr>
    <w:rPr>
      <w:rFonts w:ascii="Calibri" w:hAnsi="Calibri" w:cs="Calibri"/>
      <w:kern w:val="0"/>
      <w:sz w:val="22"/>
      <w:szCs w:val="22"/>
      <w:lang w:eastAsia="en-US"/>
    </w:rPr>
  </w:style>
  <w:style w:type="paragraph" w:customStyle="1" w:styleId="72">
    <w:name w:val="Char1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3">
    <w:name w:val="发布实施日期"/>
    <w:basedOn w:val="1"/>
    <w:autoRedefine/>
    <w:qFormat/>
    <w:uiPriority w:val="0"/>
    <w:pPr>
      <w:widowControl/>
    </w:pPr>
    <w:rPr>
      <w:rFonts w:ascii="黑体" w:hAnsi="宋体" w:eastAsia="黑体"/>
      <w:kern w:val="0"/>
      <w:sz w:val="28"/>
      <w:lang w:bidi="he-IL"/>
    </w:rPr>
  </w:style>
  <w:style w:type="paragraph" w:customStyle="1" w:styleId="74">
    <w:name w:val="列出段落1"/>
    <w:basedOn w:val="1"/>
    <w:autoRedefine/>
    <w:qFormat/>
    <w:uiPriority w:val="0"/>
    <w:pPr>
      <w:ind w:firstLine="420" w:firstLineChars="200"/>
    </w:pPr>
    <w:rPr>
      <w:rFonts w:ascii="Calibri" w:hAnsi="Calibri"/>
      <w:szCs w:val="22"/>
    </w:rPr>
  </w:style>
  <w:style w:type="paragraph" w:customStyle="1" w:styleId="75">
    <w:name w:val="表格(另)"/>
    <w:basedOn w:val="1"/>
    <w:next w:val="1"/>
    <w:autoRedefine/>
    <w:qFormat/>
    <w:uiPriority w:val="0"/>
    <w:pPr>
      <w:spacing w:line="312" w:lineRule="auto"/>
      <w:jc w:val="center"/>
    </w:pPr>
    <w:rPr>
      <w:szCs w:val="21"/>
    </w:rPr>
  </w:style>
  <w:style w:type="paragraph" w:customStyle="1" w:styleId="76">
    <w:name w:val="君邦正文"/>
    <w:autoRedefine/>
    <w:qFormat/>
    <w:uiPriority w:val="0"/>
    <w:pPr>
      <w:spacing w:after="60" w:line="360" w:lineRule="auto"/>
      <w:ind w:firstLine="480" w:firstLineChars="200"/>
      <w:jc w:val="both"/>
    </w:pPr>
    <w:rPr>
      <w:rFonts w:ascii="宋体" w:hAnsi="宋体" w:eastAsia="宋体" w:cs="Times New Roman"/>
      <w:bCs/>
      <w:snapToGrid w:val="0"/>
      <w:sz w:val="24"/>
      <w:lang w:val="en-US" w:eastAsia="zh-CN" w:bidi="ar-SA"/>
    </w:rPr>
  </w:style>
  <w:style w:type="paragraph" w:customStyle="1" w:styleId="77">
    <w:name w:val="Char Char3"/>
    <w:basedOn w:val="1"/>
    <w:autoRedefine/>
    <w:qFormat/>
    <w:uiPriority w:val="0"/>
    <w:pPr>
      <w:spacing w:after="148" w:afterLines="50" w:line="560" w:lineRule="exact"/>
      <w:ind w:right="1224" w:rightChars="583" w:firstLine="600" w:firstLineChars="250"/>
    </w:pPr>
    <w:rPr>
      <w:rFonts w:eastAsia="黑体"/>
      <w:sz w:val="30"/>
      <w:szCs w:val="30"/>
    </w:rPr>
  </w:style>
  <w:style w:type="paragraph" w:customStyle="1" w:styleId="78">
    <w:name w:val="表 头"/>
    <w:basedOn w:val="1"/>
    <w:autoRedefine/>
    <w:qFormat/>
    <w:uiPriority w:val="0"/>
    <w:pPr>
      <w:tabs>
        <w:tab w:val="left" w:pos="1418"/>
      </w:tabs>
      <w:adjustRightInd w:val="0"/>
      <w:spacing w:line="360" w:lineRule="auto"/>
      <w:jc w:val="center"/>
    </w:pPr>
    <w:rPr>
      <w:b/>
      <w:color w:val="000000"/>
      <w:kern w:val="24"/>
      <w:sz w:val="24"/>
      <w:szCs w:val="24"/>
      <w:lang w:val="zh-CN"/>
    </w:rPr>
  </w:style>
  <w:style w:type="paragraph" w:customStyle="1" w:styleId="79">
    <w:name w:val="标准的标志"/>
    <w:basedOn w:val="1"/>
    <w:autoRedefine/>
    <w:qFormat/>
    <w:uiPriority w:val="0"/>
    <w:pPr>
      <w:widowControl/>
    </w:pPr>
    <w:rPr>
      <w:rFonts w:ascii="宋体" w:hAnsi="Garamond"/>
      <w:b/>
      <w:bCs/>
      <w:i/>
      <w:iCs/>
      <w:kern w:val="0"/>
      <w:sz w:val="84"/>
      <w:lang w:bidi="he-IL"/>
      <w14:shadow w14:blurRad="50800" w14:dist="38100" w14:dir="2700000" w14:sx="100000" w14:sy="100000" w14:kx="0" w14:ky="0" w14:algn="tl">
        <w14:srgbClr w14:val="000000">
          <w14:alpha w14:val="60000"/>
        </w14:srgbClr>
      </w14:shadow>
    </w:rPr>
  </w:style>
  <w:style w:type="paragraph" w:customStyle="1" w:styleId="80">
    <w:name w:val="Char3"/>
    <w:basedOn w:val="1"/>
    <w:autoRedefine/>
    <w:qFormat/>
    <w:uiPriority w:val="0"/>
    <w:rPr>
      <w:szCs w:val="24"/>
    </w:rPr>
  </w:style>
  <w:style w:type="paragraph" w:customStyle="1" w:styleId="81">
    <w:name w:val="默认段落字体 Para Char Char Char Char"/>
    <w:basedOn w:val="1"/>
    <w:autoRedefine/>
    <w:qFormat/>
    <w:uiPriority w:val="0"/>
    <w:rPr>
      <w:szCs w:val="21"/>
    </w:rPr>
  </w:style>
  <w:style w:type="paragraph" w:customStyle="1" w:styleId="82">
    <w:name w:val="华能大连店厂企业标准"/>
    <w:basedOn w:val="1"/>
    <w:next w:val="1"/>
    <w:autoRedefine/>
    <w:qFormat/>
    <w:uiPriority w:val="0"/>
    <w:pPr>
      <w:widowControl/>
      <w:spacing w:before="420" w:after="60" w:line="320" w:lineRule="exact"/>
      <w:jc w:val="center"/>
    </w:pPr>
    <w:rPr>
      <w:rFonts w:ascii="宋体" w:hAnsi="宋体"/>
      <w:b/>
      <w:bCs/>
      <w:caps/>
      <w:spacing w:val="-18"/>
      <w:w w:val="150"/>
      <w:kern w:val="36"/>
      <w:sz w:val="40"/>
      <w:szCs w:val="40"/>
      <w:lang w:bidi="he-IL"/>
    </w:rPr>
  </w:style>
  <w:style w:type="paragraph" w:customStyle="1" w:styleId="83">
    <w:name w:val="标准编号"/>
    <w:basedOn w:val="1"/>
    <w:autoRedefine/>
    <w:qFormat/>
    <w:uiPriority w:val="0"/>
    <w:pPr>
      <w:widowControl/>
      <w:tabs>
        <w:tab w:val="right" w:pos="3960"/>
      </w:tabs>
      <w:spacing w:line="240" w:lineRule="atLeast"/>
      <w:ind w:right="174" w:firstLine="6015" w:firstLineChars="2140"/>
    </w:pPr>
    <w:rPr>
      <w:rFonts w:eastAsia="MS PMincho"/>
      <w:b/>
      <w:bCs/>
      <w:kern w:val="0"/>
      <w:sz w:val="28"/>
      <w:lang w:bidi="he-IL"/>
    </w:rPr>
  </w:style>
  <w:style w:type="paragraph" w:styleId="84">
    <w:name w:val="List Paragraph"/>
    <w:basedOn w:val="1"/>
    <w:autoRedefine/>
    <w:qFormat/>
    <w:uiPriority w:val="99"/>
    <w:pPr>
      <w:ind w:firstLine="420" w:firstLineChars="200"/>
    </w:pPr>
    <w:rPr>
      <w:szCs w:val="22"/>
    </w:rPr>
  </w:style>
  <w:style w:type="paragraph" w:customStyle="1" w:styleId="85">
    <w:name w:val="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86">
    <w:name w:val="标题3 Char Char Char Char"/>
    <w:basedOn w:val="1"/>
    <w:autoRedefine/>
    <w:qFormat/>
    <w:uiPriority w:val="0"/>
    <w:pPr>
      <w:spacing w:after="156" w:afterLines="50" w:line="560" w:lineRule="exact"/>
    </w:pPr>
    <w:rPr>
      <w:rFonts w:eastAsia="黑体"/>
      <w:sz w:val="30"/>
      <w:szCs w:val="30"/>
    </w:rPr>
  </w:style>
  <w:style w:type="paragraph" w:customStyle="1" w:styleId="87">
    <w:name w:val="表格文字"/>
    <w:basedOn w:val="1"/>
    <w:autoRedefine/>
    <w:qFormat/>
    <w:uiPriority w:val="0"/>
    <w:pPr>
      <w:jc w:val="center"/>
    </w:pPr>
    <w:rPr>
      <w:snapToGrid w:val="0"/>
      <w:kern w:val="0"/>
      <w:sz w:val="24"/>
    </w:rPr>
  </w:style>
  <w:style w:type="paragraph" w:customStyle="1" w:styleId="88">
    <w:name w:val="样式 首行缩进:  1.34 厘米"/>
    <w:basedOn w:val="1"/>
    <w:autoRedefine/>
    <w:qFormat/>
    <w:uiPriority w:val="0"/>
    <w:pPr>
      <w:spacing w:line="360" w:lineRule="auto"/>
      <w:ind w:firstLine="567"/>
    </w:pPr>
    <w:rPr>
      <w:sz w:val="28"/>
    </w:rPr>
  </w:style>
  <w:style w:type="paragraph" w:customStyle="1" w:styleId="89">
    <w:name w:val="列出段落2"/>
    <w:basedOn w:val="1"/>
    <w:autoRedefine/>
    <w:semiHidden/>
    <w:qFormat/>
    <w:uiPriority w:val="0"/>
    <w:pPr>
      <w:ind w:firstLine="420" w:firstLineChars="200"/>
    </w:pPr>
    <w:rPr>
      <w:rFonts w:ascii="Calibri" w:hAnsi="Calibri"/>
      <w:szCs w:val="21"/>
    </w:rPr>
  </w:style>
  <w:style w:type="paragraph" w:customStyle="1" w:styleId="90">
    <w:name w:val="报告书正文"/>
    <w:basedOn w:val="1"/>
    <w:link w:val="91"/>
    <w:autoRedefine/>
    <w:qFormat/>
    <w:uiPriority w:val="0"/>
    <w:pPr>
      <w:widowControl/>
      <w:spacing w:line="360" w:lineRule="auto"/>
      <w:ind w:firstLine="480" w:firstLineChars="200"/>
    </w:pPr>
    <w:rPr>
      <w:sz w:val="24"/>
    </w:rPr>
  </w:style>
  <w:style w:type="character" w:customStyle="1" w:styleId="91">
    <w:name w:val="报告书正文 Char Char"/>
    <w:link w:val="90"/>
    <w:autoRedefine/>
    <w:qFormat/>
    <w:locked/>
    <w:uiPriority w:val="0"/>
    <w:rPr>
      <w:kern w:val="2"/>
      <w:sz w:val="24"/>
    </w:rPr>
  </w:style>
  <w:style w:type="paragraph" w:customStyle="1" w:styleId="92">
    <w:name w:val="表格内"/>
    <w:autoRedefine/>
    <w:qFormat/>
    <w:uiPriority w:val="0"/>
    <w:pPr>
      <w:jc w:val="center"/>
    </w:pPr>
    <w:rPr>
      <w:rFonts w:ascii="Times New Roman" w:hAnsi="Times New Roman" w:eastAsia="宋体" w:cs="Times New Roman"/>
      <w:kern w:val="2"/>
      <w:sz w:val="18"/>
      <w:szCs w:val="21"/>
      <w:lang w:val="en-US" w:eastAsia="zh-CN" w:bidi="ar-SA"/>
    </w:rPr>
  </w:style>
  <w:style w:type="character" w:customStyle="1" w:styleId="93">
    <w:name w:val="正文首行缩进 字符"/>
    <w:basedOn w:val="55"/>
    <w:link w:val="31"/>
    <w:autoRedefine/>
    <w:qFormat/>
    <w:uiPriority w:val="0"/>
    <w:rPr>
      <w:kern w:val="2"/>
      <w:sz w:val="21"/>
    </w:rPr>
  </w:style>
  <w:style w:type="character" w:customStyle="1" w:styleId="94">
    <w:name w:val="正文样式 Char"/>
    <w:link w:val="95"/>
    <w:autoRedefine/>
    <w:qFormat/>
    <w:uiPriority w:val="0"/>
    <w:rPr>
      <w:sz w:val="24"/>
    </w:rPr>
  </w:style>
  <w:style w:type="paragraph" w:customStyle="1" w:styleId="95">
    <w:name w:val="正文样式"/>
    <w:basedOn w:val="1"/>
    <w:link w:val="94"/>
    <w:autoRedefine/>
    <w:qFormat/>
    <w:uiPriority w:val="0"/>
    <w:pPr>
      <w:adjustRightInd w:val="0"/>
      <w:spacing w:line="360" w:lineRule="auto"/>
      <w:ind w:firstLine="824" w:firstLineChars="200"/>
    </w:pPr>
    <w:rPr>
      <w:kern w:val="0"/>
      <w:sz w:val="24"/>
    </w:rPr>
  </w:style>
  <w:style w:type="paragraph" w:customStyle="1" w:styleId="96">
    <w:name w:val="表格"/>
    <w:next w:val="7"/>
    <w:autoRedefine/>
    <w:semiHidden/>
    <w:qFormat/>
    <w:uiPriority w:val="0"/>
    <w:pPr>
      <w:spacing w:line="0" w:lineRule="atLeast"/>
      <w:jc w:val="center"/>
    </w:pPr>
    <w:rPr>
      <w:rFonts w:ascii="宋体" w:hAnsi="Times New Roman" w:eastAsia="宋体" w:cs="Times New Roman"/>
      <w:sz w:val="21"/>
      <w:szCs w:val="22"/>
      <w:lang w:val="en-US" w:eastAsia="zh-CN" w:bidi="ar-SA"/>
    </w:rPr>
  </w:style>
  <w:style w:type="paragraph" w:customStyle="1" w:styleId="97">
    <w:name w:val="表格001"/>
    <w:basedOn w:val="1"/>
    <w:autoRedefine/>
    <w:qFormat/>
    <w:uiPriority w:val="0"/>
    <w:pPr>
      <w:jc w:val="center"/>
    </w:pPr>
    <w:rPr>
      <w:szCs w:val="21"/>
    </w:rPr>
  </w:style>
  <w:style w:type="character" w:customStyle="1" w:styleId="98">
    <w:name w:val="15"/>
    <w:basedOn w:val="34"/>
    <w:autoRedefine/>
    <w:qFormat/>
    <w:uiPriority w:val="0"/>
    <w:rPr>
      <w:rFonts w:hint="default" w:ascii="Times New Roman" w:hAnsi="Times New Roman" w:cs="Times New Roman"/>
    </w:rPr>
  </w:style>
  <w:style w:type="character" w:customStyle="1" w:styleId="99">
    <w:name w:val="HTML 预设格式 字符"/>
    <w:basedOn w:val="34"/>
    <w:link w:val="28"/>
    <w:autoRedefine/>
    <w:qFormat/>
    <w:uiPriority w:val="0"/>
    <w:rPr>
      <w:rFonts w:ascii="宋体" w:hAnsi="宋体"/>
      <w:sz w:val="24"/>
      <w:szCs w:val="24"/>
    </w:rPr>
  </w:style>
  <w:style w:type="paragraph" w:customStyle="1" w:styleId="100">
    <w:name w:val="表格标题1"/>
    <w:basedOn w:val="1"/>
    <w:autoRedefine/>
    <w:qFormat/>
    <w:uiPriority w:val="0"/>
    <w:pPr>
      <w:snapToGrid w:val="0"/>
      <w:spacing w:line="360" w:lineRule="auto"/>
      <w:jc w:val="center"/>
    </w:pPr>
    <w:rPr>
      <w:rFonts w:ascii="宋体"/>
      <w:b/>
      <w:spacing w:val="4"/>
      <w:sz w:val="24"/>
    </w:rPr>
  </w:style>
  <w:style w:type="paragraph" w:customStyle="1" w:styleId="101">
    <w:name w:val="样式 小四 行距: 1.5 倍行距"/>
    <w:basedOn w:val="1"/>
    <w:autoRedefine/>
    <w:qFormat/>
    <w:uiPriority w:val="0"/>
    <w:pPr>
      <w:ind w:firstLine="480" w:firstLineChars="200"/>
    </w:pPr>
    <w:rPr>
      <w:rFonts w:cs="宋体"/>
    </w:rPr>
  </w:style>
  <w:style w:type="character" w:customStyle="1" w:styleId="102">
    <w:name w:val="文本 Char"/>
    <w:link w:val="103"/>
    <w:autoRedefine/>
    <w:qFormat/>
    <w:uiPriority w:val="0"/>
    <w:rPr>
      <w:sz w:val="24"/>
    </w:rPr>
  </w:style>
  <w:style w:type="paragraph" w:customStyle="1" w:styleId="103">
    <w:name w:val="文本"/>
    <w:basedOn w:val="1"/>
    <w:link w:val="102"/>
    <w:autoRedefine/>
    <w:qFormat/>
    <w:uiPriority w:val="0"/>
    <w:pPr>
      <w:spacing w:line="360" w:lineRule="auto"/>
      <w:ind w:firstLine="480" w:firstLineChars="200"/>
    </w:pPr>
    <w:rPr>
      <w:sz w:val="24"/>
    </w:rPr>
  </w:style>
  <w:style w:type="character" w:customStyle="1" w:styleId="104">
    <w:name w:val="font31"/>
    <w:basedOn w:val="34"/>
    <w:autoRedefine/>
    <w:qFormat/>
    <w:uiPriority w:val="0"/>
    <w:rPr>
      <w:rFonts w:hint="default" w:ascii="Times New Roman" w:hAnsi="Times New Roman" w:cs="Times New Roman"/>
      <w:color w:val="000000"/>
      <w:sz w:val="24"/>
      <w:szCs w:val="24"/>
      <w:u w:val="none"/>
    </w:rPr>
  </w:style>
  <w:style w:type="character" w:customStyle="1" w:styleId="105">
    <w:name w:val="font11"/>
    <w:basedOn w:val="34"/>
    <w:autoRedefine/>
    <w:qFormat/>
    <w:uiPriority w:val="0"/>
    <w:rPr>
      <w:rFonts w:hint="eastAsia" w:ascii="宋体" w:hAnsi="宋体" w:eastAsia="宋体" w:cs="宋体"/>
      <w:color w:val="000000"/>
      <w:sz w:val="24"/>
      <w:szCs w:val="24"/>
      <w:u w:val="none"/>
    </w:rPr>
  </w:style>
  <w:style w:type="character" w:customStyle="1" w:styleId="106">
    <w:name w:val="font61"/>
    <w:basedOn w:val="34"/>
    <w:autoRedefine/>
    <w:qFormat/>
    <w:uiPriority w:val="0"/>
    <w:rPr>
      <w:rFonts w:hint="default" w:ascii="Times New Roman" w:hAnsi="Times New Roman" w:cs="Times New Roman"/>
      <w:color w:val="000000"/>
      <w:sz w:val="24"/>
      <w:szCs w:val="24"/>
      <w:u w:val="none"/>
      <w:vertAlign w:val="superscript"/>
    </w:rPr>
  </w:style>
  <w:style w:type="character" w:customStyle="1" w:styleId="107">
    <w:name w:val="font51"/>
    <w:basedOn w:val="34"/>
    <w:autoRedefine/>
    <w:qFormat/>
    <w:uiPriority w:val="0"/>
    <w:rPr>
      <w:rFonts w:hint="default" w:ascii="Times New Roman" w:hAnsi="Times New Roman" w:cs="Times New Roman"/>
      <w:color w:val="000000"/>
      <w:sz w:val="24"/>
      <w:szCs w:val="24"/>
      <w:u w:val="none"/>
      <w:vertAlign w:val="subscript"/>
    </w:rPr>
  </w:style>
  <w:style w:type="character" w:customStyle="1" w:styleId="108">
    <w:name w:val="font71"/>
    <w:basedOn w:val="34"/>
    <w:autoRedefine/>
    <w:qFormat/>
    <w:uiPriority w:val="0"/>
    <w:rPr>
      <w:rFonts w:hint="default" w:ascii="Times New Roman" w:hAnsi="Times New Roman" w:cs="Times New Roman"/>
      <w:color w:val="000000"/>
      <w:sz w:val="24"/>
      <w:szCs w:val="24"/>
      <w:u w:val="none"/>
    </w:rPr>
  </w:style>
  <w:style w:type="character" w:customStyle="1" w:styleId="109">
    <w:name w:val="font01"/>
    <w:basedOn w:val="34"/>
    <w:autoRedefine/>
    <w:qFormat/>
    <w:uiPriority w:val="0"/>
    <w:rPr>
      <w:rFonts w:hint="default" w:ascii="Times New Roman" w:hAnsi="Times New Roman" w:cs="Times New Roman"/>
      <w:color w:val="000000"/>
      <w:sz w:val="21"/>
      <w:szCs w:val="21"/>
      <w:u w:val="none"/>
    </w:rPr>
  </w:style>
  <w:style w:type="character" w:customStyle="1" w:styleId="110">
    <w:name w:val="font41"/>
    <w:basedOn w:val="34"/>
    <w:autoRedefine/>
    <w:qFormat/>
    <w:uiPriority w:val="0"/>
    <w:rPr>
      <w:rFonts w:hint="eastAsia" w:ascii="宋体" w:hAnsi="宋体" w:eastAsia="宋体" w:cs="宋体"/>
      <w:color w:val="000000"/>
      <w:sz w:val="21"/>
      <w:szCs w:val="21"/>
      <w:u w:val="none"/>
    </w:rPr>
  </w:style>
  <w:style w:type="paragraph" w:customStyle="1" w:styleId="111">
    <w:name w:val="表格标题"/>
    <w:basedOn w:val="1"/>
    <w:next w:val="1"/>
    <w:autoRedefine/>
    <w:qFormat/>
    <w:uiPriority w:val="0"/>
    <w:pPr>
      <w:jc w:val="center"/>
    </w:pPr>
    <w:rPr>
      <w:rFonts w:eastAsia="黑体"/>
      <w:b/>
      <w:kern w:val="0"/>
      <w:sz w:val="24"/>
    </w:rPr>
  </w:style>
  <w:style w:type="paragraph" w:customStyle="1" w:styleId="112">
    <w:name w:val="CB表头1"/>
    <w:basedOn w:val="113"/>
    <w:next w:val="113"/>
    <w:autoRedefine/>
    <w:qFormat/>
    <w:uiPriority w:val="0"/>
    <w:pPr>
      <w:numPr>
        <w:ilvl w:val="0"/>
        <w:numId w:val="1"/>
      </w:numPr>
      <w:spacing w:before="50" w:beforeLines="50" w:line="240" w:lineRule="auto"/>
      <w:jc w:val="center"/>
    </w:pPr>
    <w:rPr>
      <w:b/>
      <w:bCs/>
      <w:sz w:val="18"/>
      <w:szCs w:val="18"/>
    </w:rPr>
  </w:style>
  <w:style w:type="paragraph" w:customStyle="1" w:styleId="113">
    <w:name w:val="CB正文"/>
    <w:basedOn w:val="114"/>
    <w:autoRedefine/>
    <w:qFormat/>
    <w:uiPriority w:val="0"/>
    <w:pPr>
      <w:autoSpaceDE w:val="0"/>
      <w:autoSpaceDN w:val="0"/>
      <w:adjustRightInd w:val="0"/>
      <w:ind w:firstLine="420" w:firstLineChars="0"/>
    </w:pPr>
    <w:rPr>
      <w:rFonts w:hint="eastAsia"/>
      <w:color w:val="000000"/>
      <w:sz w:val="21"/>
      <w:szCs w:val="21"/>
    </w:rPr>
  </w:style>
  <w:style w:type="paragraph" w:customStyle="1" w:styleId="114">
    <w:name w:val="yt正文"/>
    <w:basedOn w:val="7"/>
    <w:next w:val="18"/>
    <w:autoRedefine/>
    <w:qFormat/>
    <w:uiPriority w:val="0"/>
    <w:pPr>
      <w:spacing w:line="360" w:lineRule="auto"/>
      <w:ind w:firstLine="200"/>
    </w:pPr>
    <w:rPr>
      <w:sz w:val="24"/>
    </w:rPr>
  </w:style>
  <w:style w:type="paragraph" w:customStyle="1" w:styleId="115">
    <w:name w:val="CB表头2"/>
    <w:basedOn w:val="113"/>
    <w:next w:val="113"/>
    <w:autoRedefine/>
    <w:qFormat/>
    <w:uiPriority w:val="0"/>
    <w:pPr>
      <w:snapToGrid w:val="0"/>
      <w:spacing w:line="240" w:lineRule="auto"/>
      <w:jc w:val="center"/>
    </w:pPr>
    <w:rPr>
      <w:b/>
      <w:color w:val="000000" w:themeColor="text1"/>
      <w14:textFill>
        <w14:solidFill>
          <w14:schemeClr w14:val="tx1"/>
        </w14:solidFill>
      </w14:textFill>
    </w:rPr>
  </w:style>
  <w:style w:type="paragraph" w:customStyle="1" w:styleId="116">
    <w:name w:val="正文(邵)"/>
    <w:basedOn w:val="1"/>
    <w:autoRedefine/>
    <w:qFormat/>
    <w:uiPriority w:val="0"/>
    <w:pPr>
      <w:widowControl/>
      <w:adjustRightInd w:val="0"/>
      <w:snapToGrid w:val="0"/>
      <w:spacing w:line="360" w:lineRule="auto"/>
      <w:ind w:firstLine="480"/>
      <w:jc w:val="left"/>
    </w:pPr>
    <w:rPr>
      <w:kern w:val="0"/>
      <w:sz w:val="24"/>
      <w:lang w:bidi="en-US"/>
    </w:rPr>
  </w:style>
  <w:style w:type="paragraph" w:customStyle="1" w:styleId="117">
    <w:name w:val="p0"/>
    <w:basedOn w:val="1"/>
    <w:autoRedefine/>
    <w:qFormat/>
    <w:uiPriority w:val="0"/>
    <w:pPr>
      <w:widowControl/>
    </w:pPr>
    <w:rPr>
      <w:rFonts w:hint="eastAsia"/>
    </w:rPr>
  </w:style>
  <w:style w:type="paragraph" w:customStyle="1" w:styleId="118">
    <w:name w:val="表头ck"/>
    <w:autoRedefine/>
    <w:qFormat/>
    <w:uiPriority w:val="0"/>
    <w:pPr>
      <w:widowControl w:val="0"/>
      <w:jc w:val="center"/>
    </w:pPr>
    <w:rPr>
      <w:rFonts w:ascii="Times New Roman" w:hAnsi="Times New Roman" w:eastAsia="宋体" w:cs="宋体"/>
      <w:color w:val="000000"/>
      <w:sz w:val="21"/>
      <w:szCs w:val="24"/>
      <w:lang w:val="en-US" w:eastAsia="zh-CN" w:bidi="ar-SA"/>
    </w:rPr>
  </w:style>
  <w:style w:type="paragraph" w:customStyle="1" w:styleId="119">
    <w:name w:val="0表格内容"/>
    <w:basedOn w:val="120"/>
    <w:autoRedefine/>
    <w:qFormat/>
    <w:uiPriority w:val="0"/>
    <w:pPr>
      <w:spacing w:line="240" w:lineRule="auto"/>
    </w:pPr>
  </w:style>
  <w:style w:type="paragraph" w:customStyle="1" w:styleId="120">
    <w:name w:val="B表内"/>
    <w:basedOn w:val="1"/>
    <w:autoRedefine/>
    <w:qFormat/>
    <w:uiPriority w:val="0"/>
    <w:pPr>
      <w:spacing w:line="0" w:lineRule="atLeast"/>
      <w:jc w:val="center"/>
    </w:pPr>
    <w:rPr>
      <w:rFonts w:ascii="Times New Roman" w:hAnsi="Times New Roman" w:eastAsia="宋体" w:cs="宋体"/>
      <w:szCs w:val="20"/>
    </w:rPr>
  </w:style>
  <w:style w:type="paragraph" w:customStyle="1" w:styleId="121">
    <w:name w:val="表格五号"/>
    <w:basedOn w:val="16"/>
    <w:autoRedefine/>
    <w:qFormat/>
    <w:uiPriority w:val="0"/>
    <w:pPr>
      <w:adjustRightInd w:val="0"/>
      <w:snapToGrid w:val="0"/>
      <w:spacing w:line="210" w:lineRule="atLeast"/>
      <w:jc w:val="center"/>
      <w:textAlignment w:val="baseline"/>
    </w:pPr>
    <w:rPr>
      <w:rFonts w:ascii="Times New Roman" w:hAnsi="Times New Roman"/>
      <w:kern w:val="0"/>
      <w:sz w:val="21"/>
    </w:rPr>
  </w:style>
  <w:style w:type="paragraph" w:customStyle="1" w:styleId="122">
    <w:name w:val="表格小五"/>
    <w:basedOn w:val="1"/>
    <w:autoRedefine/>
    <w:qFormat/>
    <w:uiPriority w:val="0"/>
    <w:pPr>
      <w:adjustRightInd w:val="0"/>
      <w:snapToGrid w:val="0"/>
      <w:spacing w:line="180" w:lineRule="atLeast"/>
      <w:jc w:val="center"/>
      <w:textAlignment w:val="baseline"/>
    </w:pPr>
    <w:rPr>
      <w:kern w:val="0"/>
      <w:sz w:val="18"/>
      <w:szCs w:val="20"/>
    </w:rPr>
  </w:style>
  <w:style w:type="paragraph" w:customStyle="1" w:styleId="123">
    <w:name w:val="正文123"/>
    <w:basedOn w:val="1"/>
    <w:next w:val="16"/>
    <w:autoRedefine/>
    <w:qFormat/>
    <w:uiPriority w:val="0"/>
    <w:pPr>
      <w:snapToGrid/>
      <w:spacing w:line="360" w:lineRule="auto"/>
      <w:ind w:firstLine="480" w:firstLineChars="200"/>
    </w:pPr>
    <w:rPr>
      <w:rFonts w:ascii="Times New Roman" w:hAnsi="Times New Roman" w:eastAsia="宋体"/>
      <w:sz w:val="24"/>
    </w:rPr>
  </w:style>
  <w:style w:type="paragraph" w:customStyle="1" w:styleId="124">
    <w:name w:val="五号表格"/>
    <w:basedOn w:val="1"/>
    <w:autoRedefine/>
    <w:qFormat/>
    <w:uiPriority w:val="0"/>
    <w:pPr>
      <w:jc w:val="center"/>
    </w:pPr>
    <w:rPr>
      <w:kern w:val="0"/>
    </w:rPr>
  </w:style>
  <w:style w:type="paragraph" w:customStyle="1" w:styleId="125">
    <w:name w:val="表格内容"/>
    <w:basedOn w:val="1"/>
    <w:autoRedefine/>
    <w:qFormat/>
    <w:uiPriority w:val="0"/>
    <w:pPr>
      <w:autoSpaceDE w:val="0"/>
      <w:autoSpaceDN w:val="0"/>
      <w:spacing w:line="240" w:lineRule="auto"/>
      <w:ind w:firstLine="0" w:firstLineChars="0"/>
      <w:jc w:val="center"/>
    </w:pPr>
    <w:rPr>
      <w:rFonts w:ascii="Times New Roman" w:hAnsi="Times New Roman"/>
      <w:kern w:val="0"/>
      <w:sz w:val="21"/>
      <w:szCs w:val="20"/>
    </w:rPr>
  </w:style>
  <w:style w:type="paragraph" w:customStyle="1" w:styleId="126">
    <w:name w:val="B正文"/>
    <w:basedOn w:val="1"/>
    <w:autoRedefine/>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127">
    <w:name w:val="表格内文字"/>
    <w:basedOn w:val="46"/>
    <w:autoRedefine/>
    <w:qFormat/>
    <w:uiPriority w:val="0"/>
    <w:rPr>
      <w:sz w:val="21"/>
    </w:rPr>
  </w:style>
  <w:style w:type="paragraph" w:customStyle="1" w:styleId="128">
    <w:name w:val="表格内文字11111111111111"/>
    <w:basedOn w:val="1"/>
    <w:autoRedefine/>
    <w:qFormat/>
    <w:uiPriority w:val="0"/>
    <w:pPr>
      <w:adjustRightInd w:val="0"/>
      <w:snapToGrid w:val="0"/>
      <w:jc w:val="center"/>
      <w:textAlignment w:val="bottom"/>
    </w:pPr>
    <w:rPr>
      <w:rFonts w:hAnsi="宋体"/>
      <w:snapToGrid w:val="0"/>
      <w:color w:val="000000"/>
      <w:kern w:val="0"/>
    </w:rPr>
  </w:style>
  <w:style w:type="paragraph" w:customStyle="1" w:styleId="129">
    <w:name w:val="普通(网站)1"/>
    <w:basedOn w:val="1"/>
    <w:autoRedefine/>
    <w:qFormat/>
    <w:uiPriority w:val="0"/>
    <w:pPr>
      <w:spacing w:before="100" w:beforeAutospacing="1" w:after="100" w:afterAutospacing="1"/>
    </w:pPr>
    <w:rPr>
      <w:rFonts w:ascii="宋体" w:hAnsi="宋体" w:eastAsia="宋体" w:cs="宋体"/>
      <w:sz w:val="24"/>
    </w:rPr>
  </w:style>
  <w:style w:type="paragraph" w:customStyle="1" w:styleId="130">
    <w:name w:val="表中正文标题"/>
    <w:basedOn w:val="1"/>
    <w:autoRedefine/>
    <w:qFormat/>
    <w:uiPriority w:val="0"/>
    <w:pPr>
      <w:jc w:val="center"/>
    </w:pPr>
    <w:rPr>
      <w:rFonts w:hint="eastAsia"/>
      <w:spacing w:val="4"/>
    </w:rPr>
  </w:style>
  <w:style w:type="paragraph" w:customStyle="1" w:styleId="131">
    <w:name w:val="报告1"/>
    <w:basedOn w:val="1"/>
    <w:autoRedefine/>
    <w:qFormat/>
    <w:uiPriority w:val="0"/>
    <w:pPr>
      <w:adjustRightInd w:val="0"/>
      <w:spacing w:line="360" w:lineRule="auto"/>
      <w:ind w:firstLine="505"/>
      <w:jc w:val="left"/>
      <w:textAlignment w:val="baseline"/>
    </w:pPr>
    <w:rPr>
      <w:kern w:val="0"/>
      <w:sz w:val="24"/>
    </w:rPr>
  </w:style>
  <w:style w:type="paragraph" w:customStyle="1" w:styleId="132">
    <w:name w:val="A表内"/>
    <w:basedOn w:val="1"/>
    <w:autoRedefine/>
    <w:qFormat/>
    <w:uiPriority w:val="0"/>
    <w:pPr>
      <w:spacing w:line="0" w:lineRule="atLeast"/>
      <w:jc w:val="center"/>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AE6A-A232-4CD4-809A-3028A814DB1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17628</Words>
  <Characters>21025</Characters>
  <Lines>1</Lines>
  <Paragraphs>1</Paragraphs>
  <TotalTime>9</TotalTime>
  <ScaleCrop>false</ScaleCrop>
  <LinksUpToDate>false</LinksUpToDate>
  <CharactersWithSpaces>21371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2017-05-24T01:15:00Z</dcterms:created>
  <dc:creator>Administrator</dc:creator>
  <cp:lastModifiedBy>吴</cp:lastModifiedBy>
  <cp:lastPrinted>2022-09-15T05:54:00Z</cp:lastPrinted>
  <dcterms:modified xsi:type="dcterms:W3CDTF">2024-03-11T07:28:08Z</dcterms:modified>
  <dc:title>建 设 项 目 竣 工 环 境 保 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D665F058A8194662B5763A8DC55103E5_13</vt:lpwstr>
  </property>
</Properties>
</file>