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b/>
          <w:color w:val="000000" w:themeColor="text1"/>
          <w:kern w:val="0"/>
          <w:sz w:val="44"/>
          <w:szCs w:val="44"/>
          <w14:textFill>
            <w14:solidFill>
              <w14:schemeClr w14:val="tx1"/>
            </w14:solidFill>
          </w14:textFill>
        </w:rPr>
      </w:pPr>
    </w:p>
    <w:p>
      <w:pPr>
        <w:widowControl/>
        <w:jc w:val="center"/>
        <w:rPr>
          <w:b/>
          <w:color w:val="000000" w:themeColor="text1"/>
          <w:kern w:val="0"/>
          <w:sz w:val="44"/>
          <w:szCs w:val="44"/>
          <w14:textFill>
            <w14:solidFill>
              <w14:schemeClr w14:val="tx1"/>
            </w14:solidFill>
          </w14:textFill>
        </w:rPr>
      </w:pPr>
    </w:p>
    <w:p>
      <w:pPr>
        <w:rPr>
          <w:color w:val="000000" w:themeColor="text1"/>
          <w14:textFill>
            <w14:solidFill>
              <w14:schemeClr w14:val="tx1"/>
            </w14:solidFill>
          </w14:textFill>
        </w:rPr>
      </w:pPr>
    </w:p>
    <w:p>
      <w:pPr>
        <w:widowControl/>
        <w:jc w:val="center"/>
        <w:rPr>
          <w:b/>
          <w:color w:val="000000" w:themeColor="text1"/>
          <w:kern w:val="0"/>
          <w:sz w:val="44"/>
          <w:szCs w:val="44"/>
          <w14:textFill>
            <w14:solidFill>
              <w14:schemeClr w14:val="tx1"/>
            </w14:solidFill>
          </w14:textFill>
        </w:rPr>
      </w:pPr>
    </w:p>
    <w:p>
      <w:pPr>
        <w:jc w:val="center"/>
        <w:rPr>
          <w:rFonts w:hint="eastAsia"/>
          <w:b/>
          <w:color w:val="000000" w:themeColor="text1"/>
          <w:kern w:val="0"/>
          <w:sz w:val="44"/>
          <w:szCs w:val="44"/>
          <w14:textFill>
            <w14:solidFill>
              <w14:schemeClr w14:val="tx1"/>
            </w14:solidFill>
          </w14:textFill>
        </w:rPr>
      </w:pPr>
      <w:r>
        <w:rPr>
          <w:rFonts w:hint="eastAsia"/>
          <w:b/>
          <w:color w:val="000000" w:themeColor="text1"/>
          <w:kern w:val="0"/>
          <w:sz w:val="44"/>
          <w:szCs w:val="44"/>
          <w14:textFill>
            <w14:solidFill>
              <w14:schemeClr w14:val="tx1"/>
            </w14:solidFill>
          </w14:textFill>
        </w:rPr>
        <w:t>中山大学南昌研究院生物医药研究中心建设项目竣工环境保护验收监测报告表</w:t>
      </w:r>
    </w:p>
    <w:p>
      <w:pPr>
        <w:jc w:val="center"/>
        <w:rPr>
          <w:b/>
          <w:color w:val="000000" w:themeColor="text1"/>
          <w:sz w:val="28"/>
          <w:szCs w:val="28"/>
          <w14:textFill>
            <w14:solidFill>
              <w14:schemeClr w14:val="tx1"/>
            </w14:solidFill>
          </w14:textFill>
        </w:rPr>
      </w:pPr>
    </w:p>
    <w:p>
      <w:pPr>
        <w:jc w:val="center"/>
        <w:rPr>
          <w:b/>
          <w:color w:val="000000" w:themeColor="text1"/>
          <w:sz w:val="28"/>
          <w:szCs w:val="28"/>
          <w14:textFill>
            <w14:solidFill>
              <w14:schemeClr w14:val="tx1"/>
            </w14:solidFill>
          </w14:textFill>
        </w:rPr>
      </w:pPr>
    </w:p>
    <w:p>
      <w:pPr>
        <w:jc w:val="center"/>
        <w:rPr>
          <w:color w:val="000000" w:themeColor="text1"/>
          <w14:textFill>
            <w14:solidFill>
              <w14:schemeClr w14:val="tx1"/>
            </w14:solidFill>
          </w14:textFill>
        </w:rPr>
      </w:pPr>
    </w:p>
    <w:p>
      <w:pPr>
        <w:jc w:val="center"/>
        <w:rPr>
          <w:b/>
          <w:color w:val="000000" w:themeColor="text1"/>
          <w:sz w:val="28"/>
          <w:szCs w:val="28"/>
          <w14:textFill>
            <w14:solidFill>
              <w14:schemeClr w14:val="tx1"/>
            </w14:solidFill>
          </w14:textFill>
        </w:rPr>
      </w:pPr>
    </w:p>
    <w:p>
      <w:pPr>
        <w:jc w:val="center"/>
        <w:rPr>
          <w:b/>
          <w:color w:val="000000" w:themeColor="text1"/>
          <w:sz w:val="28"/>
          <w:szCs w:val="28"/>
          <w14:textFill>
            <w14:solidFill>
              <w14:schemeClr w14:val="tx1"/>
            </w14:solidFill>
          </w14:textFill>
        </w:rPr>
      </w:pPr>
    </w:p>
    <w:p>
      <w:pPr>
        <w:jc w:val="center"/>
        <w:rPr>
          <w:b/>
          <w:color w:val="000000" w:themeColor="text1"/>
          <w:sz w:val="28"/>
          <w:szCs w:val="28"/>
          <w14:textFill>
            <w14:solidFill>
              <w14:schemeClr w14:val="tx1"/>
            </w14:solidFill>
          </w14:textFill>
        </w:rPr>
      </w:pPr>
    </w:p>
    <w:p>
      <w:pPr>
        <w:jc w:val="center"/>
        <w:rPr>
          <w:b/>
          <w:color w:val="000000" w:themeColor="text1"/>
          <w:sz w:val="28"/>
          <w:szCs w:val="28"/>
          <w14:textFill>
            <w14:solidFill>
              <w14:schemeClr w14:val="tx1"/>
            </w14:solidFill>
          </w14:textFill>
        </w:rPr>
      </w:pPr>
    </w:p>
    <w:p>
      <w:pPr>
        <w:jc w:val="center"/>
        <w:rPr>
          <w:b/>
          <w:color w:val="000000" w:themeColor="text1"/>
          <w:sz w:val="28"/>
          <w:szCs w:val="28"/>
          <w14:textFill>
            <w14:solidFill>
              <w14:schemeClr w14:val="tx1"/>
            </w14:solidFill>
          </w14:textFill>
        </w:rPr>
      </w:pPr>
    </w:p>
    <w:p>
      <w:pPr>
        <w:pStyle w:val="2"/>
        <w:rPr>
          <w:b/>
          <w:color w:val="000000" w:themeColor="text1"/>
          <w:sz w:val="28"/>
          <w:szCs w:val="28"/>
          <w14:textFill>
            <w14:solidFill>
              <w14:schemeClr w14:val="tx1"/>
            </w14:solidFill>
          </w14:textFill>
        </w:rPr>
      </w:pPr>
    </w:p>
    <w:p>
      <w:pPr>
        <w:pStyle w:val="2"/>
        <w:rPr>
          <w:b/>
          <w:color w:val="000000" w:themeColor="text1"/>
          <w:sz w:val="28"/>
          <w:szCs w:val="28"/>
          <w14:textFill>
            <w14:solidFill>
              <w14:schemeClr w14:val="tx1"/>
            </w14:solidFill>
          </w14:textFill>
        </w:rPr>
      </w:pPr>
    </w:p>
    <w:p>
      <w:pPr>
        <w:pStyle w:val="2"/>
        <w:rPr>
          <w:b/>
          <w:color w:val="000000" w:themeColor="text1"/>
          <w:sz w:val="28"/>
          <w:szCs w:val="28"/>
          <w14:textFill>
            <w14:solidFill>
              <w14:schemeClr w14:val="tx1"/>
            </w14:solidFill>
          </w14:textFill>
        </w:rPr>
      </w:pPr>
    </w:p>
    <w:p>
      <w:pPr>
        <w:jc w:val="center"/>
        <w:rPr>
          <w:color w:val="000000" w:themeColor="text1"/>
          <w14:textFill>
            <w14:solidFill>
              <w14:schemeClr w14:val="tx1"/>
            </w14:solidFill>
          </w14:textFill>
        </w:rPr>
      </w:pPr>
    </w:p>
    <w:p>
      <w:pPr>
        <w:ind w:firstLine="1960" w:firstLineChars="700"/>
        <w:rPr>
          <w:rFonts w:asciiTheme="minorEastAsia" w:hAnsiTheme="minorEastAsia" w:eastAsiaTheme="minorEastAsia" w:cstheme="minorEastAsia"/>
          <w:color w:val="000000" w:themeColor="text1"/>
          <w:ker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14:textFill>
            <w14:solidFill>
              <w14:schemeClr w14:val="tx1"/>
            </w14:solidFill>
          </w14:textFill>
        </w:rPr>
        <w:t xml:space="preserve">建设单位：中山大学南昌研究院 </w:t>
      </w:r>
    </w:p>
    <w:p>
      <w:pPr>
        <w:ind w:firstLine="1960" w:firstLineChars="700"/>
        <w:rPr>
          <w:rFonts w:hint="default" w:asciiTheme="minorEastAsia" w:hAnsiTheme="minorEastAsia" w:eastAsiaTheme="minorEastAsia" w:cstheme="minorEastAsia"/>
          <w:color w:val="000000" w:themeColor="text1"/>
          <w:kern w:val="0"/>
          <w:sz w:val="28"/>
          <w:szCs w:val="2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14:textFill>
            <w14:solidFill>
              <w14:schemeClr w14:val="tx1"/>
            </w14:solidFill>
          </w14:textFill>
        </w:rPr>
        <w:t>编制</w:t>
      </w:r>
      <w:r>
        <w:rPr>
          <w:rFonts w:hint="eastAsia" w:asciiTheme="minorEastAsia" w:hAnsiTheme="minorEastAsia" w:eastAsiaTheme="minorEastAsia" w:cstheme="minorEastAsia"/>
          <w:color w:val="000000" w:themeColor="text1"/>
          <w:kern w:val="0"/>
          <w:sz w:val="28"/>
          <w:szCs w:val="28"/>
          <w:lang w:eastAsia="zh-CN"/>
          <w14:textFill>
            <w14:solidFill>
              <w14:schemeClr w14:val="tx1"/>
            </w14:solidFill>
          </w14:textFill>
        </w:rPr>
        <w:t>日</w:t>
      </w:r>
      <w:r>
        <w:rPr>
          <w:rFonts w:hint="default" w:ascii="Times New Roman" w:hAnsi="Times New Roman" w:cs="Times New Roman" w:eastAsiaTheme="minorEastAsia"/>
          <w:color w:val="000000" w:themeColor="text1"/>
          <w:kern w:val="0"/>
          <w:sz w:val="28"/>
          <w:szCs w:val="28"/>
          <w:lang w:eastAsia="zh-CN"/>
          <w14:textFill>
            <w14:solidFill>
              <w14:schemeClr w14:val="tx1"/>
            </w14:solidFill>
          </w14:textFill>
        </w:rPr>
        <w:t>期</w:t>
      </w:r>
      <w:r>
        <w:rPr>
          <w:rFonts w:hint="default" w:ascii="Times New Roman" w:hAnsi="Times New Roman" w:cs="Times New Roman" w:eastAsiaTheme="minorEastAsia"/>
          <w:color w:val="000000" w:themeColor="text1"/>
          <w:kern w:val="0"/>
          <w:sz w:val="28"/>
          <w:szCs w:val="28"/>
          <w14:textFill>
            <w14:solidFill>
              <w14:schemeClr w14:val="tx1"/>
            </w14:solidFill>
          </w14:textFill>
        </w:rPr>
        <w:t>：</w:t>
      </w:r>
      <w:r>
        <w:rPr>
          <w:rFonts w:hint="default" w:ascii="Times New Roman" w:hAnsi="Times New Roman" w:cs="Times New Roman" w:eastAsiaTheme="minorEastAsia"/>
          <w:color w:val="000000" w:themeColor="text1"/>
          <w:kern w:val="0"/>
          <w:sz w:val="28"/>
          <w:szCs w:val="28"/>
          <w:lang w:val="en-US" w:eastAsia="zh-CN"/>
          <w14:textFill>
            <w14:solidFill>
              <w14:schemeClr w14:val="tx1"/>
            </w14:solidFill>
          </w14:textFill>
        </w:rPr>
        <w:t>2024年</w:t>
      </w:r>
      <w:r>
        <w:rPr>
          <w:rFonts w:hint="eastAsia" w:cs="Times New Roman" w:eastAsiaTheme="minorEastAsia"/>
          <w:color w:val="000000" w:themeColor="text1"/>
          <w:kern w:val="0"/>
          <w:sz w:val="28"/>
          <w:szCs w:val="28"/>
          <w:lang w:val="en-US" w:eastAsia="zh-CN"/>
          <w14:textFill>
            <w14:solidFill>
              <w14:schemeClr w14:val="tx1"/>
            </w14:solidFill>
          </w14:textFill>
        </w:rPr>
        <w:t>5</w:t>
      </w:r>
      <w:r>
        <w:rPr>
          <w:rFonts w:hint="default" w:ascii="Times New Roman" w:hAnsi="Times New Roman" w:cs="Times New Roman" w:eastAsiaTheme="minorEastAsia"/>
          <w:color w:val="000000" w:themeColor="text1"/>
          <w:kern w:val="0"/>
          <w:sz w:val="28"/>
          <w:szCs w:val="28"/>
          <w:lang w:val="en-US" w:eastAsia="zh-CN"/>
          <w14:textFill>
            <w14:solidFill>
              <w14:schemeClr w14:val="tx1"/>
            </w14:solidFill>
          </w14:textFill>
        </w:rPr>
        <w:t>月</w:t>
      </w:r>
    </w:p>
    <w:p>
      <w:pPr>
        <w:rPr>
          <w:color w:val="000000" w:themeColor="text1"/>
          <w14:textFill>
            <w14:solidFill>
              <w14:schemeClr w14:val="tx1"/>
            </w14:solidFill>
          </w14:textFill>
        </w:rPr>
        <w:sectPr>
          <w:headerReference r:id="rId3" w:type="default"/>
          <w:footerReference r:id="rId4" w:type="default"/>
          <w:footerReference r:id="rId5" w:type="even"/>
          <w:pgSz w:w="11907" w:h="16840"/>
          <w:pgMar w:top="1418" w:right="1418" w:bottom="1418" w:left="1418" w:header="851" w:footer="445" w:gutter="0"/>
          <w:pgBorders>
            <w:top w:val="none" w:sz="0" w:space="0"/>
            <w:left w:val="none" w:sz="0" w:space="0"/>
            <w:bottom w:val="none" w:sz="0" w:space="0"/>
            <w:right w:val="none" w:sz="0" w:space="0"/>
          </w:pgBorders>
          <w:cols w:space="720" w:num="1"/>
          <w:docGrid w:type="lines" w:linePitch="312" w:charSpace="0"/>
        </w:sectPr>
      </w:pPr>
      <w:r>
        <w:rPr>
          <w:color w:val="000000" w:themeColor="text1"/>
          <w14:textFill>
            <w14:solidFill>
              <w14:schemeClr w14:val="tx1"/>
            </w14:solidFill>
          </w14:textFill>
        </w:rPr>
        <w:br w:type="page"/>
      </w:r>
      <w:r>
        <w:rPr>
          <w:color w:val="000000" w:themeColor="text1"/>
          <w14:textFill>
            <w14:solidFill>
              <w14:schemeClr w14:val="tx1"/>
            </w14:solidFill>
          </w14:textFill>
        </w:rPr>
        <w:t xml:space="preserve">  </w:t>
      </w:r>
    </w:p>
    <w:p>
      <w:pPr>
        <w:rPr>
          <w:color w:val="000000" w:themeColor="text1"/>
          <w14:textFill>
            <w14:solidFill>
              <w14:schemeClr w14:val="tx1"/>
            </w14:solidFill>
          </w14:textFill>
        </w:rPr>
      </w:pPr>
    </w:p>
    <w:tbl>
      <w:tblPr>
        <w:tblStyle w:val="29"/>
        <w:tblW w:w="0" w:type="auto"/>
        <w:tblInd w:w="0" w:type="dxa"/>
        <w:tblLayout w:type="fixed"/>
        <w:tblCellMar>
          <w:top w:w="0" w:type="dxa"/>
          <w:left w:w="108" w:type="dxa"/>
          <w:bottom w:w="0" w:type="dxa"/>
          <w:right w:w="108" w:type="dxa"/>
        </w:tblCellMar>
      </w:tblPr>
      <w:tblGrid>
        <w:gridCol w:w="8107"/>
      </w:tblGrid>
      <w:tr>
        <w:tblPrEx>
          <w:tblCellMar>
            <w:top w:w="0" w:type="dxa"/>
            <w:left w:w="108" w:type="dxa"/>
            <w:bottom w:w="0" w:type="dxa"/>
            <w:right w:w="108" w:type="dxa"/>
          </w:tblCellMar>
        </w:tblPrEx>
        <w:trPr>
          <w:trHeight w:val="23" w:hRule="atLeast"/>
        </w:trPr>
        <w:tc>
          <w:tcPr>
            <w:tcW w:w="8107" w:type="dxa"/>
            <w:shd w:val="clear" w:color="auto" w:fill="auto"/>
            <w:vAlign w:val="center"/>
          </w:tcPr>
          <w:p>
            <w:pPr>
              <w:adjustRightInd/>
              <w:spacing w:line="360" w:lineRule="auto"/>
              <w:jc w:val="both"/>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
                <w:color w:val="000000" w:themeColor="text1"/>
                <w:spacing w:val="-20"/>
                <w:sz w:val="28"/>
                <w:szCs w:val="28"/>
                <w14:textFill>
                  <w14:solidFill>
                    <w14:schemeClr w14:val="tx1"/>
                  </w14:solidFill>
                </w14:textFill>
              </w:rPr>
              <w:t>建设单位法人代表</w:t>
            </w:r>
            <w:r>
              <w:rPr>
                <w:rFonts w:hint="eastAsia" w:ascii="仿宋" w:hAnsi="仿宋" w:eastAsia="仿宋" w:cs="仿宋"/>
                <w:b/>
                <w:color w:val="000000" w:themeColor="text1"/>
                <w:sz w:val="28"/>
                <w:szCs w:val="28"/>
                <w14:textFill>
                  <w14:solidFill>
                    <w14:schemeClr w14:val="tx1"/>
                  </w14:solidFill>
                </w14:textFill>
              </w:rPr>
              <w:t>：</w:t>
            </w:r>
            <w:r>
              <w:rPr>
                <w:rFonts w:hint="eastAsia" w:ascii="仿宋" w:hAnsi="仿宋" w:eastAsia="仿宋" w:cs="仿宋"/>
                <w:bCs/>
                <w:color w:val="000000" w:themeColor="text1"/>
                <w:sz w:val="28"/>
                <w:szCs w:val="28"/>
                <w14:textFill>
                  <w14:solidFill>
                    <w14:schemeClr w14:val="tx1"/>
                  </w14:solidFill>
                </w14:textFill>
              </w:rPr>
              <w:t xml:space="preserve">            （签字）</w:t>
            </w:r>
          </w:p>
        </w:tc>
      </w:tr>
      <w:tr>
        <w:tblPrEx>
          <w:tblCellMar>
            <w:top w:w="0" w:type="dxa"/>
            <w:left w:w="108" w:type="dxa"/>
            <w:bottom w:w="0" w:type="dxa"/>
            <w:right w:w="108" w:type="dxa"/>
          </w:tblCellMar>
        </w:tblPrEx>
        <w:trPr>
          <w:trHeight w:val="23" w:hRule="atLeast"/>
        </w:trPr>
        <w:tc>
          <w:tcPr>
            <w:tcW w:w="8107" w:type="dxa"/>
            <w:shd w:val="clear" w:color="auto" w:fill="auto"/>
            <w:vAlign w:val="center"/>
          </w:tcPr>
          <w:p>
            <w:pPr>
              <w:adjustRightInd/>
              <w:spacing w:line="360" w:lineRule="auto"/>
              <w:jc w:val="both"/>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项 目 负 责 人：</w:t>
            </w:r>
          </w:p>
        </w:tc>
      </w:tr>
      <w:tr>
        <w:tblPrEx>
          <w:tblCellMar>
            <w:top w:w="0" w:type="dxa"/>
            <w:left w:w="108" w:type="dxa"/>
            <w:bottom w:w="0" w:type="dxa"/>
            <w:right w:w="108" w:type="dxa"/>
          </w:tblCellMar>
        </w:tblPrEx>
        <w:trPr>
          <w:trHeight w:val="23" w:hRule="atLeast"/>
        </w:trPr>
        <w:tc>
          <w:tcPr>
            <w:tcW w:w="8107" w:type="dxa"/>
            <w:shd w:val="clear" w:color="auto" w:fill="auto"/>
            <w:vAlign w:val="center"/>
          </w:tcPr>
          <w:p>
            <w:pPr>
              <w:adjustRightInd/>
              <w:spacing w:line="360" w:lineRule="auto"/>
              <w:jc w:val="both"/>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填    表    人：</w:t>
            </w:r>
          </w:p>
        </w:tc>
      </w:tr>
    </w:tbl>
    <w:p>
      <w:pPr>
        <w:jc w:val="left"/>
        <w:rPr>
          <w:rFonts w:ascii="仿宋_GB2312" w:eastAsia="仿宋_GB2312"/>
          <w:b/>
          <w:color w:val="000000" w:themeColor="text1"/>
          <w:w w:val="79"/>
          <w:sz w:val="28"/>
          <w:szCs w:val="28"/>
          <w14:textFill>
            <w14:solidFill>
              <w14:schemeClr w14:val="tx1"/>
            </w14:solidFill>
          </w14:textFill>
        </w:rPr>
      </w:pPr>
    </w:p>
    <w:p>
      <w:pPr>
        <w:jc w:val="left"/>
        <w:rPr>
          <w:rFonts w:ascii="仿宋_GB2312" w:eastAsia="仿宋_GB2312"/>
          <w:b/>
          <w:color w:val="000000" w:themeColor="text1"/>
          <w:w w:val="79"/>
          <w:sz w:val="28"/>
          <w:szCs w:val="28"/>
          <w14:textFill>
            <w14:solidFill>
              <w14:schemeClr w14:val="tx1"/>
            </w14:solidFill>
          </w14:textFill>
        </w:rPr>
      </w:pPr>
    </w:p>
    <w:p>
      <w:pPr>
        <w:jc w:val="left"/>
        <w:rPr>
          <w:rFonts w:ascii="仿宋_GB2312" w:eastAsia="仿宋_GB2312"/>
          <w:b/>
          <w:color w:val="000000" w:themeColor="text1"/>
          <w:w w:val="79"/>
          <w:sz w:val="28"/>
          <w:szCs w:val="28"/>
          <w14:textFill>
            <w14:solidFill>
              <w14:schemeClr w14:val="tx1"/>
            </w14:solidFill>
          </w14:textFill>
        </w:rPr>
      </w:pPr>
    </w:p>
    <w:p>
      <w:pPr>
        <w:jc w:val="left"/>
        <w:rPr>
          <w:rFonts w:ascii="仿宋_GB2312" w:eastAsia="仿宋_GB2312"/>
          <w:b/>
          <w:color w:val="000000" w:themeColor="text1"/>
          <w:w w:val="79"/>
          <w:sz w:val="28"/>
          <w:szCs w:val="28"/>
          <w14:textFill>
            <w14:solidFill>
              <w14:schemeClr w14:val="tx1"/>
            </w14:solidFill>
          </w14:textFill>
        </w:rPr>
      </w:pPr>
    </w:p>
    <w:p>
      <w:pPr>
        <w:jc w:val="left"/>
        <w:rPr>
          <w:rFonts w:ascii="仿宋_GB2312" w:eastAsia="仿宋_GB2312"/>
          <w:b/>
          <w:color w:val="000000" w:themeColor="text1"/>
          <w:w w:val="79"/>
          <w:sz w:val="28"/>
          <w:szCs w:val="28"/>
          <w14:textFill>
            <w14:solidFill>
              <w14:schemeClr w14:val="tx1"/>
            </w14:solidFill>
          </w14:textFill>
        </w:rPr>
      </w:pPr>
    </w:p>
    <w:p>
      <w:pPr>
        <w:jc w:val="left"/>
        <w:rPr>
          <w:rFonts w:ascii="仿宋_GB2312" w:eastAsia="仿宋_GB2312"/>
          <w:b/>
          <w:color w:val="000000" w:themeColor="text1"/>
          <w:w w:val="79"/>
          <w:sz w:val="28"/>
          <w:szCs w:val="28"/>
          <w14:textFill>
            <w14:solidFill>
              <w14:schemeClr w14:val="tx1"/>
            </w14:solidFill>
          </w14:textFill>
        </w:rPr>
      </w:pPr>
    </w:p>
    <w:p>
      <w:pPr>
        <w:jc w:val="left"/>
        <w:rPr>
          <w:rFonts w:ascii="仿宋_GB2312" w:eastAsia="仿宋_GB2312"/>
          <w:b/>
          <w:color w:val="000000" w:themeColor="text1"/>
          <w:w w:val="79"/>
          <w:sz w:val="28"/>
          <w:szCs w:val="28"/>
          <w14:textFill>
            <w14:solidFill>
              <w14:schemeClr w14:val="tx1"/>
            </w14:solidFill>
          </w14:textFill>
        </w:rPr>
      </w:pPr>
    </w:p>
    <w:p>
      <w:pPr>
        <w:rPr>
          <w:color w:val="000000" w:themeColor="text1"/>
          <w14:textFill>
            <w14:solidFill>
              <w14:schemeClr w14:val="tx1"/>
            </w14:solidFill>
          </w14:textFill>
        </w:rPr>
      </w:pPr>
    </w:p>
    <w:p>
      <w:pPr>
        <w:jc w:val="left"/>
        <w:rPr>
          <w:rFonts w:ascii="仿宋_GB2312" w:eastAsia="仿宋_GB2312"/>
          <w:b/>
          <w:color w:val="000000" w:themeColor="text1"/>
          <w:w w:val="79"/>
          <w:sz w:val="28"/>
          <w:szCs w:val="28"/>
          <w14:textFill>
            <w14:solidFill>
              <w14:schemeClr w14:val="tx1"/>
            </w14:solidFill>
          </w14:textFill>
        </w:rPr>
      </w:pPr>
    </w:p>
    <w:p>
      <w:pPr>
        <w:jc w:val="left"/>
        <w:rPr>
          <w:rFonts w:ascii="仿宋_GB2312" w:eastAsia="仿宋_GB2312"/>
          <w:b/>
          <w:color w:val="000000" w:themeColor="text1"/>
          <w:w w:val="79"/>
          <w:sz w:val="28"/>
          <w:szCs w:val="28"/>
          <w14:textFill>
            <w14:solidFill>
              <w14:schemeClr w14:val="tx1"/>
            </w14:solidFill>
          </w14:textFill>
        </w:rPr>
      </w:pPr>
    </w:p>
    <w:tbl>
      <w:tblPr>
        <w:tblStyle w:val="29"/>
        <w:tblW w:w="7019" w:type="dxa"/>
        <w:tblInd w:w="0" w:type="dxa"/>
        <w:tblLayout w:type="fixed"/>
        <w:tblCellMar>
          <w:top w:w="0" w:type="dxa"/>
          <w:left w:w="108" w:type="dxa"/>
          <w:bottom w:w="0" w:type="dxa"/>
          <w:right w:w="108" w:type="dxa"/>
        </w:tblCellMar>
      </w:tblPr>
      <w:tblGrid>
        <w:gridCol w:w="1624"/>
        <w:gridCol w:w="5395"/>
      </w:tblGrid>
      <w:tr>
        <w:tblPrEx>
          <w:tblCellMar>
            <w:top w:w="0" w:type="dxa"/>
            <w:left w:w="108" w:type="dxa"/>
            <w:bottom w:w="0" w:type="dxa"/>
            <w:right w:w="108" w:type="dxa"/>
          </w:tblCellMar>
        </w:tblPrEx>
        <w:trPr>
          <w:trHeight w:val="1210" w:hRule="atLeast"/>
        </w:trPr>
        <w:tc>
          <w:tcPr>
            <w:tcW w:w="1624" w:type="dxa"/>
            <w:shd w:val="clear" w:color="auto" w:fill="auto"/>
            <w:vAlign w:val="center"/>
          </w:tcPr>
          <w:p>
            <w:pPr>
              <w:spacing w:line="276" w:lineRule="auto"/>
              <w:jc w:val="center"/>
              <w:rPr>
                <w:rFonts w:ascii="宋体" w:hAnsi="宋体"/>
                <w:color w:val="000000" w:themeColor="text1"/>
                <w:sz w:val="28"/>
                <w:szCs w:val="24"/>
                <w14:textFill>
                  <w14:solidFill>
                    <w14:schemeClr w14:val="tx1"/>
                  </w14:solidFill>
                </w14:textFill>
              </w:rPr>
            </w:pPr>
            <w:r>
              <w:rPr>
                <w:rFonts w:ascii="宋体" w:hAnsi="宋体"/>
                <w:color w:val="000000" w:themeColor="text1"/>
                <w:sz w:val="28"/>
                <w:szCs w:val="24"/>
                <w14:textFill>
                  <w14:solidFill>
                    <w14:schemeClr w14:val="tx1"/>
                  </w14:solidFill>
                </w14:textFill>
              </w:rPr>
              <w:t>建设单位：</w:t>
            </w:r>
          </w:p>
        </w:tc>
        <w:tc>
          <w:tcPr>
            <w:tcW w:w="5395" w:type="dxa"/>
            <w:shd w:val="clear" w:color="auto" w:fill="auto"/>
            <w:vAlign w:val="center"/>
          </w:tcPr>
          <w:p>
            <w:pPr>
              <w:spacing w:line="276" w:lineRule="auto"/>
              <w:rPr>
                <w:rFonts w:hint="eastAsia" w:eastAsia="宋体"/>
                <w:color w:val="000000" w:themeColor="text1"/>
                <w:sz w:val="28"/>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14:textFill>
                  <w14:solidFill>
                    <w14:schemeClr w14:val="tx1"/>
                  </w14:solidFill>
                </w14:textFill>
              </w:rPr>
              <w:t xml:space="preserve">中山大学南昌研究院 </w:t>
            </w:r>
          </w:p>
        </w:tc>
      </w:tr>
      <w:tr>
        <w:tblPrEx>
          <w:tblCellMar>
            <w:top w:w="0" w:type="dxa"/>
            <w:left w:w="108" w:type="dxa"/>
            <w:bottom w:w="0" w:type="dxa"/>
            <w:right w:w="108" w:type="dxa"/>
          </w:tblCellMar>
        </w:tblPrEx>
        <w:trPr>
          <w:trHeight w:val="605" w:hRule="atLeast"/>
        </w:trPr>
        <w:tc>
          <w:tcPr>
            <w:tcW w:w="1624" w:type="dxa"/>
            <w:shd w:val="clear" w:color="auto" w:fill="auto"/>
            <w:vAlign w:val="center"/>
          </w:tcPr>
          <w:p>
            <w:pPr>
              <w:spacing w:line="276" w:lineRule="auto"/>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电    话:</w:t>
            </w:r>
          </w:p>
        </w:tc>
        <w:tc>
          <w:tcPr>
            <w:tcW w:w="5395" w:type="dxa"/>
            <w:shd w:val="clear" w:color="auto" w:fill="auto"/>
            <w:vAlign w:val="center"/>
          </w:tcPr>
          <w:p>
            <w:pPr>
              <w:spacing w:line="276" w:lineRule="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15717919736</w:t>
            </w:r>
          </w:p>
        </w:tc>
      </w:tr>
      <w:tr>
        <w:tblPrEx>
          <w:tblCellMar>
            <w:top w:w="0" w:type="dxa"/>
            <w:left w:w="108" w:type="dxa"/>
            <w:bottom w:w="0" w:type="dxa"/>
            <w:right w:w="108" w:type="dxa"/>
          </w:tblCellMar>
        </w:tblPrEx>
        <w:trPr>
          <w:trHeight w:val="470" w:hRule="atLeast"/>
        </w:trPr>
        <w:tc>
          <w:tcPr>
            <w:tcW w:w="1624" w:type="dxa"/>
            <w:shd w:val="clear" w:color="auto" w:fill="auto"/>
            <w:vAlign w:val="center"/>
          </w:tcPr>
          <w:p>
            <w:pPr>
              <w:spacing w:line="276" w:lineRule="auto"/>
              <w:jc w:val="center"/>
              <w:rPr>
                <w:rFonts w:ascii="宋体" w:hAnsi="宋体"/>
                <w:color w:val="000000" w:themeColor="text1"/>
                <w:sz w:val="28"/>
                <w:szCs w:val="24"/>
                <w14:textFill>
                  <w14:solidFill>
                    <w14:schemeClr w14:val="tx1"/>
                  </w14:solidFill>
                </w14:textFill>
              </w:rPr>
            </w:pPr>
            <w:r>
              <w:rPr>
                <w:rFonts w:ascii="宋体" w:hAnsi="宋体"/>
                <w:color w:val="000000" w:themeColor="text1"/>
                <w:sz w:val="28"/>
                <w:szCs w:val="24"/>
                <w14:textFill>
                  <w14:solidFill>
                    <w14:schemeClr w14:val="tx1"/>
                  </w14:solidFill>
                </w14:textFill>
              </w:rPr>
              <w:t>传    真:</w:t>
            </w:r>
          </w:p>
        </w:tc>
        <w:tc>
          <w:tcPr>
            <w:tcW w:w="5395" w:type="dxa"/>
            <w:shd w:val="clear" w:color="auto" w:fill="auto"/>
            <w:vAlign w:val="center"/>
          </w:tcPr>
          <w:p>
            <w:pPr>
              <w:spacing w:line="276" w:lineRule="auto"/>
              <w:jc w:val="center"/>
              <w:rPr>
                <w:b/>
                <w:color w:val="000000" w:themeColor="text1"/>
                <w:sz w:val="28"/>
                <w:szCs w:val="24"/>
                <w14:textFill>
                  <w14:solidFill>
                    <w14:schemeClr w14:val="tx1"/>
                  </w14:solidFill>
                </w14:textFill>
              </w:rPr>
            </w:pPr>
            <w:r>
              <w:rPr>
                <w:b/>
                <w:color w:val="000000" w:themeColor="text1"/>
                <w:sz w:val="28"/>
                <w:szCs w:val="24"/>
                <w14:textFill>
                  <w14:solidFill>
                    <w14:schemeClr w14:val="tx1"/>
                  </w14:solidFill>
                </w14:textFill>
              </w:rPr>
              <w:t>/</w:t>
            </w:r>
          </w:p>
        </w:tc>
      </w:tr>
      <w:tr>
        <w:tblPrEx>
          <w:tblCellMar>
            <w:top w:w="0" w:type="dxa"/>
            <w:left w:w="108" w:type="dxa"/>
            <w:bottom w:w="0" w:type="dxa"/>
            <w:right w:w="108" w:type="dxa"/>
          </w:tblCellMar>
        </w:tblPrEx>
        <w:trPr>
          <w:trHeight w:val="2419" w:hRule="atLeast"/>
        </w:trPr>
        <w:tc>
          <w:tcPr>
            <w:tcW w:w="1624" w:type="dxa"/>
            <w:shd w:val="clear" w:color="auto" w:fill="auto"/>
            <w:vAlign w:val="center"/>
          </w:tcPr>
          <w:p>
            <w:pPr>
              <w:spacing w:line="276" w:lineRule="auto"/>
              <w:jc w:val="center"/>
              <w:rPr>
                <w:rFonts w:ascii="宋体" w:hAnsi="宋体"/>
                <w:color w:val="000000" w:themeColor="text1"/>
                <w:sz w:val="28"/>
                <w:szCs w:val="24"/>
                <w14:textFill>
                  <w14:solidFill>
                    <w14:schemeClr w14:val="tx1"/>
                  </w14:solidFill>
                </w14:textFill>
              </w:rPr>
            </w:pPr>
            <w:r>
              <w:rPr>
                <w:rFonts w:ascii="宋体" w:hAnsi="宋体"/>
                <w:color w:val="000000" w:themeColor="text1"/>
                <w:sz w:val="28"/>
                <w:szCs w:val="24"/>
                <w14:textFill>
                  <w14:solidFill>
                    <w14:schemeClr w14:val="tx1"/>
                  </w14:solidFill>
                </w14:textFill>
              </w:rPr>
              <w:t>地    址:</w:t>
            </w:r>
          </w:p>
        </w:tc>
        <w:tc>
          <w:tcPr>
            <w:tcW w:w="539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color w:val="000000" w:themeColor="text1"/>
                <w:sz w:val="28"/>
                <w:szCs w:val="24"/>
                <w14:textFill>
                  <w14:solidFill>
                    <w14:schemeClr w14:val="tx1"/>
                  </w14:solidFill>
                </w14:textFill>
              </w:rPr>
            </w:pPr>
            <w:r>
              <w:rPr>
                <w:rFonts w:hint="eastAsia"/>
                <w:color w:val="000000" w:themeColor="text1"/>
                <w:sz w:val="28"/>
                <w:szCs w:val="24"/>
                <w:lang w:val="en-US" w:eastAsia="zh-CN"/>
                <w14:textFill>
                  <w14:solidFill>
                    <w14:schemeClr w14:val="tx1"/>
                  </w14:solidFill>
                </w14:textFill>
              </w:rPr>
              <w:t>南昌高新技术开发区艾溪湖北路269号</w:t>
            </w:r>
          </w:p>
        </w:tc>
      </w:tr>
    </w:tbl>
    <w:p>
      <w:pPr>
        <w:spacing w:line="360" w:lineRule="auto"/>
        <w:jc w:val="center"/>
        <w:rPr>
          <w:rFonts w:ascii="黑体" w:eastAsia="黑体"/>
          <w:b/>
          <w:color w:val="000000" w:themeColor="text1"/>
          <w:sz w:val="32"/>
          <w:szCs w:val="32"/>
          <w14:textFill>
            <w14:solidFill>
              <w14:schemeClr w14:val="tx1"/>
            </w14:solidFill>
          </w14:textFill>
        </w:rPr>
        <w:sectPr>
          <w:pgSz w:w="11907" w:h="16840"/>
          <w:pgMar w:top="1418" w:right="1418" w:bottom="1418" w:left="1418" w:header="851" w:footer="445" w:gutter="0"/>
          <w:pgBorders>
            <w:top w:val="none" w:sz="0" w:space="0"/>
            <w:left w:val="none" w:sz="0" w:space="0"/>
            <w:bottom w:val="none" w:sz="0" w:space="0"/>
            <w:right w:val="none" w:sz="0" w:space="0"/>
          </w:pgBorders>
          <w:cols w:space="720" w:num="1"/>
          <w:docGrid w:type="lines" w:linePitch="312" w:charSpace="0"/>
        </w:sectPr>
      </w:pPr>
    </w:p>
    <w:p>
      <w:pPr>
        <w:pStyle w:val="37"/>
        <w:rPr>
          <w:color w:val="000000" w:themeColor="text1"/>
          <w14:textFill>
            <w14:solidFill>
              <w14:schemeClr w14:val="tx1"/>
            </w14:solidFill>
          </w14:textFill>
        </w:rPr>
      </w:pPr>
    </w:p>
    <w:p>
      <w:pPr>
        <w:spacing w:line="600" w:lineRule="exact"/>
        <w:rPr>
          <w:color w:val="000000" w:themeColor="text1"/>
          <w:szCs w:val="28"/>
          <w14:textFill>
            <w14:solidFill>
              <w14:schemeClr w14:val="tx1"/>
            </w14:solidFill>
          </w14:textFill>
        </w:rPr>
      </w:pPr>
      <w:r>
        <w:rPr>
          <w:color w:val="000000" w:themeColor="text1"/>
          <w:szCs w:val="28"/>
          <w14:textFill>
            <w14:solidFill>
              <w14:schemeClr w14:val="tx1"/>
            </w14:solidFill>
          </w14:textFill>
        </w:rPr>
        <w:br w:type="page"/>
      </w:r>
    </w:p>
    <w:p>
      <w:pPr>
        <w:jc w:val="center"/>
        <w:rPr>
          <w:b/>
          <w:color w:val="000000" w:themeColor="text1"/>
          <w:sz w:val="44"/>
          <w:szCs w:val="32"/>
          <w14:textFill>
            <w14:solidFill>
              <w14:schemeClr w14:val="tx1"/>
            </w14:solidFill>
          </w14:textFill>
        </w:rPr>
      </w:pPr>
      <w:r>
        <w:rPr>
          <w:rFonts w:hint="eastAsia"/>
          <w:b/>
          <w:color w:val="000000" w:themeColor="text1"/>
          <w:sz w:val="44"/>
          <w:szCs w:val="32"/>
          <w14:textFill>
            <w14:solidFill>
              <w14:schemeClr w14:val="tx1"/>
            </w14:solidFill>
          </w14:textFill>
        </w:rPr>
        <w:t>目  录</w:t>
      </w:r>
    </w:p>
    <w:p>
      <w:pPr>
        <w:pStyle w:val="19"/>
        <w:spacing w:line="360" w:lineRule="auto"/>
        <w:rPr>
          <w:rFonts w:ascii="Times New Roman" w:hAnsi="Times New Roman" w:eastAsia="宋体"/>
          <w:color w:val="000000" w:themeColor="text1"/>
          <w:kern w:val="2"/>
          <w:sz w:val="24"/>
          <w:szCs w:val="24"/>
          <w:lang w:bidi="ar-SA"/>
          <w14:textFill>
            <w14:solidFill>
              <w14:schemeClr w14:val="tx1"/>
            </w14:solidFill>
          </w14:textFill>
        </w:rPr>
      </w:pPr>
      <w:r>
        <w:rPr>
          <w:rFonts w:ascii="宋体" w:eastAsia="宋体"/>
          <w:b/>
          <w:color w:val="000000" w:themeColor="text1"/>
          <w:sz w:val="24"/>
          <w:szCs w:val="24"/>
          <w14:textFill>
            <w14:solidFill>
              <w14:schemeClr w14:val="tx1"/>
            </w14:solidFill>
          </w14:textFill>
        </w:rPr>
        <w:fldChar w:fldCharType="begin"/>
      </w:r>
      <w:r>
        <w:rPr>
          <w:rFonts w:ascii="宋体" w:eastAsia="宋体"/>
          <w:b/>
          <w:color w:val="000000" w:themeColor="text1"/>
          <w:sz w:val="24"/>
          <w:szCs w:val="24"/>
          <w14:textFill>
            <w14:solidFill>
              <w14:schemeClr w14:val="tx1"/>
            </w14:solidFill>
          </w14:textFill>
        </w:rPr>
        <w:instrText xml:space="preserve"> TOC \o "1-1" \h \z \u </w:instrText>
      </w:r>
      <w:r>
        <w:rPr>
          <w:rFonts w:ascii="宋体" w:eastAsia="宋体"/>
          <w:b/>
          <w:color w:val="000000" w:themeColor="text1"/>
          <w:sz w:val="24"/>
          <w:szCs w:val="24"/>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"_Toc523906055" </w:instrText>
      </w:r>
      <w:r>
        <w:rPr>
          <w:color w:val="000000" w:themeColor="text1"/>
          <w14:textFill>
            <w14:solidFill>
              <w14:schemeClr w14:val="tx1"/>
            </w14:solidFill>
          </w14:textFill>
        </w:rPr>
        <w:fldChar w:fldCharType="separate"/>
      </w:r>
      <w:r>
        <w:rPr>
          <w:rStyle w:val="33"/>
          <w:rFonts w:ascii="Times New Roman" w:hAnsi="Times New Roman" w:eastAsia="宋体"/>
          <w:color w:val="000000" w:themeColor="text1"/>
          <w:sz w:val="24"/>
          <w:szCs w:val="24"/>
          <w14:textFill>
            <w14:solidFill>
              <w14:schemeClr w14:val="tx1"/>
            </w14:solidFill>
          </w14:textFill>
        </w:rPr>
        <w:t>表一  项目基本情况</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_Toc523906055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1</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color w:val="000000" w:themeColor="text1"/>
          <w:sz w:val="24"/>
          <w:szCs w:val="24"/>
          <w14:textFill>
            <w14:solidFill>
              <w14:schemeClr w14:val="tx1"/>
            </w14:solidFill>
          </w14:textFill>
        </w:rPr>
        <w:fldChar w:fldCharType="end"/>
      </w:r>
    </w:p>
    <w:p>
      <w:pPr>
        <w:pStyle w:val="19"/>
        <w:spacing w:line="360" w:lineRule="auto"/>
        <w:rPr>
          <w:rFonts w:ascii="Times New Roman" w:hAnsi="Times New Roman" w:eastAsia="宋体"/>
          <w:color w:val="000000" w:themeColor="text1"/>
          <w:kern w:val="2"/>
          <w:sz w:val="24"/>
          <w:szCs w:val="24"/>
          <w:lang w:bidi="ar-SA"/>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"_Toc523906056" </w:instrText>
      </w:r>
      <w:r>
        <w:rPr>
          <w:color w:val="000000" w:themeColor="text1"/>
          <w14:textFill>
            <w14:solidFill>
              <w14:schemeClr w14:val="tx1"/>
            </w14:solidFill>
          </w14:textFill>
        </w:rPr>
        <w:fldChar w:fldCharType="separate"/>
      </w:r>
      <w:r>
        <w:rPr>
          <w:rStyle w:val="33"/>
          <w:rFonts w:ascii="Times New Roman" w:hAnsi="Times New Roman" w:eastAsia="宋体"/>
          <w:color w:val="000000" w:themeColor="text1"/>
          <w:sz w:val="24"/>
          <w:szCs w:val="24"/>
          <w14:textFill>
            <w14:solidFill>
              <w14:schemeClr w14:val="tx1"/>
            </w14:solidFill>
          </w14:textFill>
        </w:rPr>
        <w:t>表二  项目概况</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_Toc523906056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4</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color w:val="000000" w:themeColor="text1"/>
          <w:sz w:val="24"/>
          <w:szCs w:val="24"/>
          <w14:textFill>
            <w14:solidFill>
              <w14:schemeClr w14:val="tx1"/>
            </w14:solidFill>
          </w14:textFill>
        </w:rPr>
        <w:fldChar w:fldCharType="end"/>
      </w:r>
    </w:p>
    <w:p>
      <w:pPr>
        <w:pStyle w:val="19"/>
        <w:spacing w:line="360" w:lineRule="auto"/>
        <w:rPr>
          <w:rFonts w:ascii="Times New Roman" w:hAnsi="Times New Roman" w:eastAsia="宋体"/>
          <w:color w:val="000000" w:themeColor="text1"/>
          <w:kern w:val="2"/>
          <w:sz w:val="24"/>
          <w:szCs w:val="24"/>
          <w:lang w:bidi="ar-SA"/>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"_Toc523906057" </w:instrText>
      </w:r>
      <w:r>
        <w:rPr>
          <w:color w:val="000000" w:themeColor="text1"/>
          <w14:textFill>
            <w14:solidFill>
              <w14:schemeClr w14:val="tx1"/>
            </w14:solidFill>
          </w14:textFill>
        </w:rPr>
        <w:fldChar w:fldCharType="separate"/>
      </w:r>
      <w:r>
        <w:rPr>
          <w:rStyle w:val="33"/>
          <w:rFonts w:ascii="Times New Roman" w:hAnsi="Times New Roman" w:eastAsia="宋体"/>
          <w:color w:val="000000" w:themeColor="text1"/>
          <w:sz w:val="24"/>
          <w:szCs w:val="24"/>
          <w14:textFill>
            <w14:solidFill>
              <w14:schemeClr w14:val="tx1"/>
            </w14:solidFill>
          </w14:textFill>
        </w:rPr>
        <w:t>表三  主要污染源、污染物处理及其排放情况</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_Toc523906057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31</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color w:val="000000" w:themeColor="text1"/>
          <w:sz w:val="24"/>
          <w:szCs w:val="24"/>
          <w14:textFill>
            <w14:solidFill>
              <w14:schemeClr w14:val="tx1"/>
            </w14:solidFill>
          </w14:textFill>
        </w:rPr>
        <w:fldChar w:fldCharType="end"/>
      </w:r>
    </w:p>
    <w:p>
      <w:pPr>
        <w:pStyle w:val="19"/>
        <w:spacing w:line="360" w:lineRule="auto"/>
        <w:rPr>
          <w:rFonts w:ascii="Times New Roman" w:hAnsi="Times New Roman" w:eastAsia="宋体"/>
          <w:color w:val="000000" w:themeColor="text1"/>
          <w:kern w:val="2"/>
          <w:sz w:val="24"/>
          <w:szCs w:val="24"/>
          <w:lang w:bidi="ar-SA"/>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"_Toc523906058" </w:instrText>
      </w:r>
      <w:r>
        <w:rPr>
          <w:color w:val="000000" w:themeColor="text1"/>
          <w14:textFill>
            <w14:solidFill>
              <w14:schemeClr w14:val="tx1"/>
            </w14:solidFill>
          </w14:textFill>
        </w:rPr>
        <w:fldChar w:fldCharType="separate"/>
      </w:r>
      <w:r>
        <w:rPr>
          <w:rStyle w:val="33"/>
          <w:rFonts w:ascii="Times New Roman" w:hAnsi="Times New Roman" w:eastAsia="宋体"/>
          <w:color w:val="000000" w:themeColor="text1"/>
          <w:sz w:val="24"/>
          <w:szCs w:val="24"/>
          <w14:textFill>
            <w14:solidFill>
              <w14:schemeClr w14:val="tx1"/>
            </w14:solidFill>
          </w14:textFill>
        </w:rPr>
        <w:t>表四  环境影响报告表主要结论与建议及其审批部门审批决定</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_Toc523906058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34</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color w:val="000000" w:themeColor="text1"/>
          <w:sz w:val="24"/>
          <w:szCs w:val="24"/>
          <w14:textFill>
            <w14:solidFill>
              <w14:schemeClr w14:val="tx1"/>
            </w14:solidFill>
          </w14:textFill>
        </w:rPr>
        <w:fldChar w:fldCharType="end"/>
      </w:r>
    </w:p>
    <w:p>
      <w:pPr>
        <w:pStyle w:val="19"/>
        <w:spacing w:line="360" w:lineRule="auto"/>
        <w:rPr>
          <w:rFonts w:ascii="Times New Roman" w:hAnsi="Times New Roman" w:eastAsia="宋体"/>
          <w:color w:val="000000" w:themeColor="text1"/>
          <w:kern w:val="2"/>
          <w:sz w:val="24"/>
          <w:szCs w:val="24"/>
          <w:lang w:bidi="ar-SA"/>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"_Toc523906059" </w:instrText>
      </w:r>
      <w:r>
        <w:rPr>
          <w:color w:val="000000" w:themeColor="text1"/>
          <w14:textFill>
            <w14:solidFill>
              <w14:schemeClr w14:val="tx1"/>
            </w14:solidFill>
          </w14:textFill>
        </w:rPr>
        <w:fldChar w:fldCharType="separate"/>
      </w:r>
      <w:r>
        <w:rPr>
          <w:rStyle w:val="33"/>
          <w:rFonts w:ascii="Times New Roman" w:hAnsi="Times New Roman" w:eastAsia="宋体"/>
          <w:color w:val="000000" w:themeColor="text1"/>
          <w:sz w:val="24"/>
          <w:szCs w:val="24"/>
          <w14:textFill>
            <w14:solidFill>
              <w14:schemeClr w14:val="tx1"/>
            </w14:solidFill>
          </w14:textFill>
        </w:rPr>
        <w:t>表五  验收监测质量保证及质量控制</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_Toc523906059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36</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color w:val="000000" w:themeColor="text1"/>
          <w:sz w:val="24"/>
          <w:szCs w:val="24"/>
          <w14:textFill>
            <w14:solidFill>
              <w14:schemeClr w14:val="tx1"/>
            </w14:solidFill>
          </w14:textFill>
        </w:rPr>
        <w:fldChar w:fldCharType="end"/>
      </w:r>
    </w:p>
    <w:p>
      <w:pPr>
        <w:pStyle w:val="19"/>
        <w:spacing w:line="360" w:lineRule="auto"/>
        <w:rPr>
          <w:rFonts w:ascii="Times New Roman" w:hAnsi="Times New Roman" w:eastAsia="宋体"/>
          <w:color w:val="000000" w:themeColor="text1"/>
          <w:kern w:val="2"/>
          <w:sz w:val="24"/>
          <w:szCs w:val="24"/>
          <w:lang w:bidi="ar-SA"/>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"_Toc523906060" </w:instrText>
      </w:r>
      <w:r>
        <w:rPr>
          <w:color w:val="000000" w:themeColor="text1"/>
          <w14:textFill>
            <w14:solidFill>
              <w14:schemeClr w14:val="tx1"/>
            </w14:solidFill>
          </w14:textFill>
        </w:rPr>
        <w:fldChar w:fldCharType="separate"/>
      </w:r>
      <w:r>
        <w:rPr>
          <w:rStyle w:val="33"/>
          <w:rFonts w:ascii="Times New Roman" w:hAnsi="Times New Roman" w:eastAsia="宋体"/>
          <w:color w:val="000000" w:themeColor="text1"/>
          <w:sz w:val="24"/>
          <w:szCs w:val="24"/>
          <w14:textFill>
            <w14:solidFill>
              <w14:schemeClr w14:val="tx1"/>
            </w14:solidFill>
          </w14:textFill>
        </w:rPr>
        <w:t>表六  验收监测内容</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_Toc523906060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39</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color w:val="000000" w:themeColor="text1"/>
          <w:sz w:val="24"/>
          <w:szCs w:val="24"/>
          <w14:textFill>
            <w14:solidFill>
              <w14:schemeClr w14:val="tx1"/>
            </w14:solidFill>
          </w14:textFill>
        </w:rPr>
        <w:fldChar w:fldCharType="end"/>
      </w:r>
    </w:p>
    <w:p>
      <w:pPr>
        <w:pStyle w:val="19"/>
        <w:spacing w:line="360" w:lineRule="auto"/>
        <w:rPr>
          <w:rFonts w:ascii="Times New Roman" w:hAnsi="Times New Roman" w:eastAsia="宋体"/>
          <w:color w:val="000000" w:themeColor="text1"/>
          <w:kern w:val="2"/>
          <w:sz w:val="24"/>
          <w:szCs w:val="24"/>
          <w:lang w:bidi="ar-SA"/>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"_Toc523906061" </w:instrText>
      </w:r>
      <w:r>
        <w:rPr>
          <w:color w:val="000000" w:themeColor="text1"/>
          <w14:textFill>
            <w14:solidFill>
              <w14:schemeClr w14:val="tx1"/>
            </w14:solidFill>
          </w14:textFill>
        </w:rPr>
        <w:fldChar w:fldCharType="separate"/>
      </w:r>
      <w:r>
        <w:rPr>
          <w:rStyle w:val="33"/>
          <w:rFonts w:ascii="Times New Roman" w:hAnsi="Times New Roman" w:eastAsia="宋体"/>
          <w:color w:val="000000" w:themeColor="text1"/>
          <w:sz w:val="24"/>
          <w:szCs w:val="24"/>
          <w14:textFill>
            <w14:solidFill>
              <w14:schemeClr w14:val="tx1"/>
            </w14:solidFill>
          </w14:textFill>
        </w:rPr>
        <w:t>表七  验收监测结果及分析</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_Toc523906061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40</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color w:val="000000" w:themeColor="text1"/>
          <w:sz w:val="24"/>
          <w:szCs w:val="24"/>
          <w14:textFill>
            <w14:solidFill>
              <w14:schemeClr w14:val="tx1"/>
            </w14:solidFill>
          </w14:textFill>
        </w:rPr>
        <w:fldChar w:fldCharType="end"/>
      </w:r>
    </w:p>
    <w:p>
      <w:pPr>
        <w:pStyle w:val="19"/>
        <w:spacing w:line="360" w:lineRule="auto"/>
        <w:rPr>
          <w:rFonts w:ascii="Times New Roman" w:hAnsi="Times New Roman" w:eastAsia="宋体"/>
          <w:color w:val="000000" w:themeColor="text1"/>
          <w:kern w:val="2"/>
          <w:sz w:val="24"/>
          <w:szCs w:val="24"/>
          <w:lang w:bidi="ar-SA"/>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"_Toc523906062" </w:instrText>
      </w:r>
      <w:r>
        <w:rPr>
          <w:color w:val="000000" w:themeColor="text1"/>
          <w14:textFill>
            <w14:solidFill>
              <w14:schemeClr w14:val="tx1"/>
            </w14:solidFill>
          </w14:textFill>
        </w:rPr>
        <w:fldChar w:fldCharType="separate"/>
      </w:r>
      <w:r>
        <w:rPr>
          <w:rStyle w:val="33"/>
          <w:rFonts w:ascii="Times New Roman" w:hAnsi="Times New Roman" w:eastAsia="宋体"/>
          <w:color w:val="000000" w:themeColor="text1"/>
          <w:sz w:val="24"/>
          <w:szCs w:val="24"/>
          <w14:textFill>
            <w14:solidFill>
              <w14:schemeClr w14:val="tx1"/>
            </w14:solidFill>
          </w14:textFill>
        </w:rPr>
        <w:t>表八  环评及批复落实情况</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_Toc523906062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45</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color w:val="000000" w:themeColor="text1"/>
          <w:sz w:val="24"/>
          <w:szCs w:val="24"/>
          <w14:textFill>
            <w14:solidFill>
              <w14:schemeClr w14:val="tx1"/>
            </w14:solidFill>
          </w14:textFill>
        </w:rPr>
        <w:fldChar w:fldCharType="end"/>
      </w:r>
    </w:p>
    <w:p>
      <w:pPr>
        <w:pStyle w:val="19"/>
        <w:spacing w:line="360" w:lineRule="auto"/>
        <w:rPr>
          <w:rFonts w:ascii="Times New Roman" w:hAnsi="Times New Roman" w:eastAsia="宋体"/>
          <w:color w:val="000000" w:themeColor="text1"/>
          <w:kern w:val="2"/>
          <w:sz w:val="24"/>
          <w:szCs w:val="24"/>
          <w:lang w:bidi="ar-SA"/>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"_Toc523906063" </w:instrText>
      </w:r>
      <w:r>
        <w:rPr>
          <w:color w:val="000000" w:themeColor="text1"/>
          <w14:textFill>
            <w14:solidFill>
              <w14:schemeClr w14:val="tx1"/>
            </w14:solidFill>
          </w14:textFill>
        </w:rPr>
        <w:fldChar w:fldCharType="separate"/>
      </w:r>
      <w:r>
        <w:rPr>
          <w:rStyle w:val="33"/>
          <w:rFonts w:ascii="Times New Roman" w:hAnsi="Times New Roman" w:eastAsia="宋体"/>
          <w:color w:val="000000" w:themeColor="text1"/>
          <w:sz w:val="24"/>
          <w:szCs w:val="24"/>
          <w14:textFill>
            <w14:solidFill>
              <w14:schemeClr w14:val="tx1"/>
            </w14:solidFill>
          </w14:textFill>
        </w:rPr>
        <w:t>表九  验收监测结论及建议</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_Toc523906063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47</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color w:val="000000" w:themeColor="text1"/>
          <w:sz w:val="24"/>
          <w:szCs w:val="24"/>
          <w14:textFill>
            <w14:solidFill>
              <w14:schemeClr w14:val="tx1"/>
            </w14:solidFill>
          </w14:textFill>
        </w:rPr>
        <w:fldChar w:fldCharType="end"/>
      </w:r>
    </w:p>
    <w:p>
      <w:pPr>
        <w:spacing w:line="360" w:lineRule="auto"/>
        <w:ind w:left="964" w:hanging="964" w:hangingChars="400"/>
        <w:jc w:val="left"/>
        <w:rPr>
          <w:rFonts w:ascii="宋体" w:hAnsi="宋体"/>
          <w:bCs/>
          <w:color w:val="000000" w:themeColor="text1"/>
          <w:sz w:val="24"/>
          <w:szCs w:val="24"/>
          <w14:textFill>
            <w14:solidFill>
              <w14:schemeClr w14:val="tx1"/>
            </w14:solidFill>
          </w14:textFill>
        </w:rPr>
      </w:pPr>
      <w:r>
        <w:rPr>
          <w:rFonts w:ascii="宋体" w:hAnsi="宋体"/>
          <w:b/>
          <w:color w:val="000000" w:themeColor="text1"/>
          <w:sz w:val="24"/>
          <w:szCs w:val="24"/>
          <w14:textFill>
            <w14:solidFill>
              <w14:schemeClr w14:val="tx1"/>
            </w14:solidFill>
          </w14:textFill>
        </w:rPr>
        <w:fldChar w:fldCharType="end"/>
      </w:r>
      <w:r>
        <w:rPr>
          <w:rFonts w:ascii="宋体" w:hAnsi="宋体"/>
          <w:bCs/>
          <w:color w:val="000000" w:themeColor="text1"/>
          <w:sz w:val="24"/>
          <w:szCs w:val="24"/>
          <w14:textFill>
            <w14:solidFill>
              <w14:schemeClr w14:val="tx1"/>
            </w14:solidFill>
          </w14:textFill>
        </w:rPr>
        <w:t>附表  建设项目环境保护“三同时”竣工验收登记表</w:t>
      </w:r>
    </w:p>
    <w:p>
      <w:pPr>
        <w:spacing w:line="360" w:lineRule="auto"/>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br w:type="page"/>
      </w:r>
    </w:p>
    <w:p>
      <w:pPr>
        <w:spacing w:line="360" w:lineRule="auto"/>
        <w:rPr>
          <w:rFonts w:ascii="宋体" w:hAnsi="宋体"/>
          <w:color w:val="000000" w:themeColor="text1"/>
          <w:kern w:val="0"/>
          <w:sz w:val="24"/>
          <w14:textFill>
            <w14:solidFill>
              <w14:schemeClr w14:val="tx1"/>
            </w14:solidFill>
          </w14:textFill>
        </w:rPr>
      </w:pPr>
    </w:p>
    <w:p>
      <w:pPr>
        <w:spacing w:line="360" w:lineRule="auto"/>
        <w:rPr>
          <w:rFonts w:ascii="宋体" w:hAnsi="宋体"/>
          <w:color w:val="000000" w:themeColor="text1"/>
          <w:kern w:val="0"/>
          <w:sz w:val="24"/>
          <w14:textFill>
            <w14:solidFill>
              <w14:schemeClr w14:val="tx1"/>
            </w14:solidFill>
          </w14:textFill>
        </w:rPr>
        <w:sectPr>
          <w:pgSz w:w="11907" w:h="16840"/>
          <w:pgMar w:top="1418" w:right="1418" w:bottom="1418" w:left="1418" w:header="851" w:footer="445" w:gutter="0"/>
          <w:pgBorders>
            <w:top w:val="none" w:sz="0" w:space="0"/>
            <w:left w:val="none" w:sz="0" w:space="0"/>
            <w:bottom w:val="none" w:sz="0" w:space="0"/>
            <w:right w:val="none" w:sz="0" w:space="0"/>
          </w:pgBorders>
          <w:cols w:space="720" w:num="1"/>
          <w:docGrid w:type="lines" w:linePitch="312" w:charSpace="0"/>
        </w:sectPr>
      </w:pPr>
    </w:p>
    <w:p>
      <w:pPr>
        <w:pStyle w:val="3"/>
        <w:rPr>
          <w:color w:val="000000" w:themeColor="text1"/>
          <w14:textFill>
            <w14:solidFill>
              <w14:schemeClr w14:val="tx1"/>
            </w14:solidFill>
          </w14:textFill>
        </w:rPr>
      </w:pPr>
      <w:bookmarkStart w:id="0" w:name="_Toc523906055"/>
      <w:r>
        <w:rPr>
          <w:color w:val="000000" w:themeColor="text1"/>
          <w14:textFill>
            <w14:solidFill>
              <w14:schemeClr w14:val="tx1"/>
            </w14:solidFill>
          </w14:textFill>
        </w:rPr>
        <w:t>表一  项目</w:t>
      </w:r>
      <w:r>
        <w:rPr>
          <w:rFonts w:hint="eastAsia"/>
          <w:color w:val="000000" w:themeColor="text1"/>
          <w14:textFill>
            <w14:solidFill>
              <w14:schemeClr w14:val="tx1"/>
            </w14:solidFill>
          </w14:textFill>
        </w:rPr>
        <w:t>基本情况</w:t>
      </w:r>
      <w:bookmarkEnd w:id="0"/>
    </w:p>
    <w:tbl>
      <w:tblPr>
        <w:tblStyle w:val="29"/>
        <w:tblW w:w="935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9" w:hRule="atLeast"/>
        </w:trPr>
        <w:tc>
          <w:tcPr>
            <w:tcW w:w="9356" w:type="dxa"/>
            <w:shd w:val="clear" w:color="auto" w:fill="auto"/>
          </w:tcPr>
          <w:tbl>
            <w:tblPr>
              <w:tblStyle w:val="2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6"/>
              <w:gridCol w:w="656"/>
              <w:gridCol w:w="2675"/>
              <w:gridCol w:w="1619"/>
              <w:gridCol w:w="1387"/>
              <w:gridCol w:w="826"/>
              <w:gridCol w:w="10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71" w:type="pct"/>
                  <w:gridSpan w:val="2"/>
                  <w:tcBorders>
                    <w:tl2br w:val="nil"/>
                    <w:tr2bl w:val="nil"/>
                  </w:tcBorders>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建设项目名称</w:t>
                  </w:r>
                </w:p>
              </w:tc>
              <w:tc>
                <w:tcPr>
                  <w:tcW w:w="4128" w:type="pct"/>
                  <w:gridSpan w:val="5"/>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中山大学南昌研究院生物医药研究中心建设项目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pct"/>
                  <w:gridSpan w:val="2"/>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建设单位名称</w:t>
                  </w:r>
                </w:p>
              </w:tc>
              <w:tc>
                <w:tcPr>
                  <w:tcW w:w="4128" w:type="pct"/>
                  <w:gridSpan w:val="5"/>
                  <w:tcBorders>
                    <w:tl2br w:val="nil"/>
                    <w:tr2bl w:val="nil"/>
                  </w:tcBorders>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中山大学南昌研究院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pct"/>
                  <w:gridSpan w:val="2"/>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建设项目性质</w:t>
                  </w:r>
                </w:p>
              </w:tc>
              <w:tc>
                <w:tcPr>
                  <w:tcW w:w="4128" w:type="pct"/>
                  <w:gridSpan w:val="5"/>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 xml:space="preserve">新建   </w:t>
                  </w:r>
                  <w:r>
                    <w:rPr>
                      <w:rFonts w:hint="eastAsia" w:ascii="宋体" w:hAnsi="宋体"/>
                      <w:color w:val="000000" w:themeColor="text1"/>
                      <w:szCs w:val="21"/>
                      <w14:textFill>
                        <w14:solidFill>
                          <w14:schemeClr w14:val="tx1"/>
                        </w14:solidFill>
                      </w14:textFill>
                    </w:rPr>
                    <w:t>□</w:t>
                  </w:r>
                  <w:r>
                    <w:rPr>
                      <w:color w:val="000000" w:themeColor="text1"/>
                      <w:szCs w:val="21"/>
                      <w14:textFill>
                        <w14:solidFill>
                          <w14:schemeClr w14:val="tx1"/>
                        </w14:solidFill>
                      </w14:textFill>
                    </w:rPr>
                    <w:t xml:space="preserve">改扩建   </w:t>
                  </w:r>
                  <w:r>
                    <w:rPr>
                      <w:rFonts w:hint="eastAsia" w:ascii="宋体" w:hAnsi="宋体"/>
                      <w:color w:val="000000" w:themeColor="text1"/>
                      <w:szCs w:val="21"/>
                      <w14:textFill>
                        <w14:solidFill>
                          <w14:schemeClr w14:val="tx1"/>
                        </w14:solidFill>
                      </w14:textFill>
                    </w:rPr>
                    <w:t>□</w:t>
                  </w:r>
                  <w:r>
                    <w:rPr>
                      <w:color w:val="000000" w:themeColor="text1"/>
                      <w:szCs w:val="21"/>
                      <w14:textFill>
                        <w14:solidFill>
                          <w14:schemeClr w14:val="tx1"/>
                        </w14:solidFill>
                      </w14:textFill>
                    </w:rPr>
                    <w:t>技改</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w:t>
                  </w:r>
                  <w:r>
                    <w:rPr>
                      <w:color w:val="000000" w:themeColor="text1"/>
                      <w:szCs w:val="21"/>
                      <w14:textFill>
                        <w14:solidFill>
                          <w14:schemeClr w14:val="tx1"/>
                        </w14:solidFill>
                      </w14:textFill>
                    </w:rPr>
                    <w:t>迁建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pct"/>
                  <w:gridSpan w:val="2"/>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建设地点</w:t>
                  </w:r>
                </w:p>
              </w:tc>
              <w:tc>
                <w:tcPr>
                  <w:tcW w:w="4128" w:type="pct"/>
                  <w:gridSpan w:val="5"/>
                  <w:tcBorders>
                    <w:tl2br w:val="nil"/>
                    <w:tr2bl w:val="nil"/>
                  </w:tcBorders>
                  <w:vAlign w:val="center"/>
                </w:tcPr>
                <w:p>
                  <w:pPr>
                    <w:adjustRightInd w:val="0"/>
                    <w:snapToGrid w:val="0"/>
                    <w:jc w:val="center"/>
                    <w:rPr>
                      <w:rFonts w:hint="eastAsia" w:hAnsi="宋体" w:eastAsia="宋体"/>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kern w:val="0"/>
                      <w:lang w:val="en-US" w:eastAsia="zh-CN"/>
                      <w14:textFill>
                        <w14:solidFill>
                          <w14:schemeClr w14:val="tx1"/>
                        </w14:solidFill>
                      </w14:textFill>
                    </w:rPr>
                    <w:t>江西省南昌高新技术开发区艾溪湖北路269号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pct"/>
                  <w:gridSpan w:val="2"/>
                  <w:vMerge w:val="restar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主要产品名称</w:t>
                  </w:r>
                </w:p>
              </w:tc>
              <w:tc>
                <w:tcPr>
                  <w:tcW w:w="4128" w:type="pct"/>
                  <w:gridSpan w:val="5"/>
                  <w:tcBorders>
                    <w:tl2br w:val="nil"/>
                    <w:tr2bl w:val="nil"/>
                  </w:tcBorders>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医药实验和研究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5" w:hRule="atLeast"/>
                <w:jc w:val="center"/>
              </w:trPr>
              <w:tc>
                <w:tcPr>
                  <w:tcW w:w="871" w:type="pct"/>
                  <w:gridSpan w:val="2"/>
                  <w:vMerge w:val="restar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设计生产能力</w:t>
                  </w:r>
                </w:p>
              </w:tc>
              <w:tc>
                <w:tcPr>
                  <w:tcW w:w="4128" w:type="pct"/>
                  <w:gridSpan w:val="5"/>
                  <w:tcBorders>
                    <w:tl2br w:val="nil"/>
                    <w:tr2bl w:val="nil"/>
                  </w:tcBorders>
                  <w:vAlign w:val="center"/>
                </w:tcPr>
                <w:tbl>
                  <w:tblPr>
                    <w:tblStyle w:val="29"/>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31"/>
                    <w:gridCol w:w="1725"/>
                    <w:gridCol w:w="2046"/>
                    <w:gridCol w:w="292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30" w:type="pct"/>
                        <w:noWrap w:val="0"/>
                        <w:tcMar>
                          <w:top w:w="15" w:type="dxa"/>
                          <w:left w:w="15" w:type="dxa"/>
                          <w:right w:w="15" w:type="dxa"/>
                        </w:tcMar>
                        <w:vAlign w:val="center"/>
                      </w:tcPr>
                      <w:p>
                        <w:pPr>
                          <w:pStyle w:val="116"/>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序号</w:t>
                        </w:r>
                      </w:p>
                    </w:tc>
                    <w:tc>
                      <w:tcPr>
                        <w:tcW w:w="1177" w:type="pct"/>
                        <w:noWrap w:val="0"/>
                        <w:tcMar>
                          <w:top w:w="15" w:type="dxa"/>
                          <w:left w:w="15" w:type="dxa"/>
                          <w:right w:w="15" w:type="dxa"/>
                        </w:tcMar>
                        <w:vAlign w:val="center"/>
                      </w:tcPr>
                      <w:p>
                        <w:pPr>
                          <w:pStyle w:val="122"/>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产品</w:t>
                        </w:r>
                        <w:r>
                          <w:rPr>
                            <w:rFonts w:hint="default" w:ascii="Times New Roman" w:hAnsi="Times New Roman" w:eastAsia="宋体" w:cs="Times New Roman"/>
                            <w:color w:val="000000" w:themeColor="text1"/>
                            <w:sz w:val="21"/>
                            <w:szCs w:val="21"/>
                            <w:lang w:eastAsia="zh-CN"/>
                            <w14:textFill>
                              <w14:solidFill>
                                <w14:schemeClr w14:val="tx1"/>
                              </w14:solidFill>
                            </w14:textFill>
                          </w:rPr>
                          <w:t>名称</w:t>
                        </w:r>
                      </w:p>
                    </w:tc>
                    <w:tc>
                      <w:tcPr>
                        <w:tcW w:w="1396" w:type="pct"/>
                        <w:noWrap w:val="0"/>
                        <w:tcMar>
                          <w:top w:w="15" w:type="dxa"/>
                          <w:left w:w="15" w:type="dxa"/>
                          <w:right w:w="15" w:type="dxa"/>
                        </w:tcMar>
                        <w:vAlign w:val="center"/>
                      </w:tcPr>
                      <w:p>
                        <w:pPr>
                          <w:pStyle w:val="122"/>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设计生产能力</w:t>
                        </w:r>
                      </w:p>
                    </w:tc>
                    <w:tc>
                      <w:tcPr>
                        <w:tcW w:w="1995" w:type="pct"/>
                        <w:noWrap w:val="0"/>
                        <w:tcMar>
                          <w:top w:w="15" w:type="dxa"/>
                          <w:left w:w="15" w:type="dxa"/>
                          <w:right w:w="15" w:type="dxa"/>
                        </w:tcMar>
                        <w:vAlign w:val="center"/>
                      </w:tcPr>
                      <w:p>
                        <w:pPr>
                          <w:pStyle w:val="122"/>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30" w:type="pct"/>
                        <w:noWrap/>
                        <w:tcMar>
                          <w:top w:w="15" w:type="dxa"/>
                          <w:left w:w="15" w:type="dxa"/>
                          <w:right w:w="15" w:type="dxa"/>
                        </w:tcMar>
                        <w:vAlign w:val="center"/>
                      </w:tcPr>
                      <w:p>
                        <w:pPr>
                          <w:pStyle w:val="116"/>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177" w:type="pct"/>
                        <w:noWrap/>
                        <w:tcMar>
                          <w:top w:w="15" w:type="dxa"/>
                          <w:left w:w="15" w:type="dxa"/>
                          <w:right w:w="15" w:type="dxa"/>
                        </w:tcMar>
                        <w:vAlign w:val="center"/>
                      </w:tcPr>
                      <w:p>
                        <w:pPr>
                          <w:pStyle w:val="122"/>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kern w:val="2"/>
                            <w:szCs w:val="24"/>
                            <w:highlight w:val="none"/>
                            <w:lang w:val="en-US" w:eastAsia="zh-CN"/>
                            <w14:textFill>
                              <w14:solidFill>
                                <w14:schemeClr w14:val="tx1"/>
                              </w14:solidFill>
                            </w14:textFill>
                          </w:rPr>
                          <w:t>药物分析检测</w:t>
                        </w:r>
                      </w:p>
                    </w:tc>
                    <w:tc>
                      <w:tcPr>
                        <w:tcW w:w="1396" w:type="pct"/>
                        <w:noWrap w:val="0"/>
                        <w:tcMar>
                          <w:top w:w="15" w:type="dxa"/>
                          <w:left w:w="15" w:type="dxa"/>
                          <w:right w:w="15" w:type="dxa"/>
                        </w:tcMar>
                        <w:vAlign w:val="center"/>
                      </w:tcPr>
                      <w:p>
                        <w:pPr>
                          <w:adjustRightInd w:val="0"/>
                          <w:snapToGrid w:val="0"/>
                          <w:ind w:left="-63" w:leftChars="-30" w:right="-63" w:rightChars="-30"/>
                          <w:jc w:val="center"/>
                          <w:rPr>
                            <w:rFonts w:hint="default" w:ascii="Times New Roman" w:hAnsi="Times New Roman" w:eastAsia="宋体" w:cs="Times New Roman"/>
                            <w:color w:val="000000" w:themeColor="text1"/>
                            <w:kern w:val="2"/>
                            <w:sz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1995" w:type="pct"/>
                        <w:noWrap/>
                        <w:tcMar>
                          <w:top w:w="15" w:type="dxa"/>
                          <w:left w:w="15" w:type="dxa"/>
                          <w:right w:w="15" w:type="dxa"/>
                        </w:tcMar>
                        <w:vAlign w:val="center"/>
                      </w:tcPr>
                      <w:p>
                        <w:pPr>
                          <w:pStyle w:val="1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kern w:val="2"/>
                            <w:szCs w:val="24"/>
                            <w:highlight w:val="none"/>
                            <w:lang w:val="en-US" w:eastAsia="zh-CN"/>
                            <w14:textFill>
                              <w14:solidFill>
                                <w14:schemeClr w14:val="tx1"/>
                              </w14:solidFill>
                            </w14:textFill>
                          </w:rPr>
                          <w:t>根据客户要求，建设单位负责检验药物成分、理化性质等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04" w:hRule="atLeast"/>
                      <w:jc w:val="center"/>
                    </w:trPr>
                    <w:tc>
                      <w:tcPr>
                        <w:tcW w:w="430" w:type="pct"/>
                        <w:noWrap/>
                        <w:tcMar>
                          <w:top w:w="15" w:type="dxa"/>
                          <w:left w:w="15" w:type="dxa"/>
                          <w:right w:w="15" w:type="dxa"/>
                        </w:tcMar>
                        <w:vAlign w:val="center"/>
                      </w:tcPr>
                      <w:p>
                        <w:pPr>
                          <w:pStyle w:val="116"/>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177" w:type="pct"/>
                        <w:noWrap/>
                        <w:tcMar>
                          <w:top w:w="15" w:type="dxa"/>
                          <w:left w:w="15" w:type="dxa"/>
                          <w:right w:w="15" w:type="dxa"/>
                        </w:tcMar>
                        <w:vAlign w:val="center"/>
                      </w:tcPr>
                      <w:p>
                        <w:pPr>
                          <w:pStyle w:val="122"/>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highlight w:val="none"/>
                            <w:lang w:val="en-US" w:eastAsia="zh-CN"/>
                            <w14:textFill>
                              <w14:solidFill>
                                <w14:schemeClr w14:val="tx1"/>
                              </w14:solidFill>
                            </w14:textFill>
                          </w:rPr>
                          <w:t>动物或细胞实验（药物的药效和毒理实验）</w:t>
                        </w:r>
                      </w:p>
                    </w:tc>
                    <w:tc>
                      <w:tcPr>
                        <w:tcW w:w="1396" w:type="pct"/>
                        <w:noWrap w:val="0"/>
                        <w:tcMar>
                          <w:top w:w="15" w:type="dxa"/>
                          <w:left w:w="15" w:type="dxa"/>
                          <w:right w:w="15" w:type="dxa"/>
                        </w:tcMar>
                        <w:vAlign w:val="center"/>
                      </w:tcPr>
                      <w:p>
                        <w:pPr>
                          <w:pStyle w:val="122"/>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1995" w:type="pct"/>
                        <w:noWrap/>
                        <w:tcMar>
                          <w:top w:w="15" w:type="dxa"/>
                          <w:left w:w="15" w:type="dxa"/>
                          <w:right w:w="15" w:type="dxa"/>
                        </w:tcMar>
                        <w:vAlign w:val="center"/>
                      </w:tcPr>
                      <w:p>
                        <w:pPr>
                          <w:pStyle w:val="1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kern w:val="2"/>
                            <w:szCs w:val="24"/>
                            <w:highlight w:val="none"/>
                            <w:lang w:val="en-US" w:eastAsia="zh-CN"/>
                            <w14:textFill>
                              <w14:solidFill>
                                <w14:schemeClr w14:val="tx1"/>
                              </w14:solidFill>
                            </w14:textFill>
                          </w:rPr>
                          <w:t>供药单位提供药物，通过动物或细胞进行实验，研究该药物对疾病的治疗效果及对动物或细胞的毒性作用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430" w:type="pct"/>
                        <w:noWrap/>
                        <w:tcMar>
                          <w:top w:w="15" w:type="dxa"/>
                          <w:left w:w="15" w:type="dxa"/>
                          <w:right w:w="15" w:type="dxa"/>
                        </w:tcMar>
                        <w:vAlign w:val="center"/>
                      </w:tcPr>
                      <w:p>
                        <w:pPr>
                          <w:pStyle w:val="116"/>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c>
                      <w:tcPr>
                        <w:tcW w:w="1177" w:type="pct"/>
                        <w:noWrap/>
                        <w:tcMar>
                          <w:top w:w="15" w:type="dxa"/>
                          <w:left w:w="15" w:type="dxa"/>
                          <w:right w:w="15" w:type="dxa"/>
                        </w:tcMar>
                        <w:vAlign w:val="center"/>
                      </w:tcPr>
                      <w:p>
                        <w:pPr>
                          <w:pStyle w:val="122"/>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药物的制剂实验</w:t>
                        </w:r>
                      </w:p>
                    </w:tc>
                    <w:tc>
                      <w:tcPr>
                        <w:tcW w:w="1396" w:type="pct"/>
                        <w:noWrap w:val="0"/>
                        <w:tcMar>
                          <w:top w:w="15" w:type="dxa"/>
                          <w:left w:w="15" w:type="dxa"/>
                          <w:right w:w="15" w:type="dxa"/>
                        </w:tcMar>
                        <w:vAlign w:val="center"/>
                      </w:tcPr>
                      <w:p>
                        <w:pPr>
                          <w:pStyle w:val="122"/>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1995" w:type="pct"/>
                        <w:noWrap/>
                        <w:tcMar>
                          <w:top w:w="15" w:type="dxa"/>
                          <w:left w:w="15" w:type="dxa"/>
                          <w:right w:w="15" w:type="dxa"/>
                        </w:tcMar>
                        <w:vAlign w:val="center"/>
                      </w:tcPr>
                      <w:p>
                        <w:pPr>
                          <w:pStyle w:val="10"/>
                          <w:jc w:val="center"/>
                          <w:rPr>
                            <w:rFonts w:hint="eastAsia"/>
                            <w:color w:val="000000" w:themeColor="text1"/>
                            <w:highlight w:val="none"/>
                            <w:lang w:val="en-US" w:eastAsia="zh-CN"/>
                            <w14:textFill>
                              <w14:solidFill>
                                <w14:schemeClr w14:val="tx1"/>
                              </w14:solidFill>
                            </w14:textFill>
                          </w:rPr>
                        </w:pPr>
                        <w:r>
                          <w:rPr>
                            <w:rFonts w:hint="eastAsia"/>
                            <w:color w:val="000000" w:themeColor="text1"/>
                            <w:kern w:val="2"/>
                            <w:szCs w:val="24"/>
                            <w:highlight w:val="none"/>
                            <w:lang w:val="en-US" w:eastAsia="zh-CN"/>
                            <w14:textFill>
                              <w14:solidFill>
                                <w14:schemeClr w14:val="tx1"/>
                              </w14:solidFill>
                            </w14:textFill>
                          </w:rPr>
                          <w:t>通过水提和醇提小规模制剂（制成固体态药剂或液态药剂）</w:t>
                        </w:r>
                      </w:p>
                    </w:tc>
                  </w:tr>
                </w:tbl>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871" w:type="pct"/>
                  <w:gridSpan w:val="2"/>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实际生产能力</w:t>
                  </w:r>
                </w:p>
              </w:tc>
              <w:tc>
                <w:tcPr>
                  <w:tcW w:w="4128" w:type="pct"/>
                  <w:gridSpan w:val="5"/>
                  <w:tcBorders>
                    <w:tl2br w:val="nil"/>
                    <w:tr2bl w:val="nil"/>
                  </w:tcBorders>
                  <w:vAlign w:val="center"/>
                </w:tcPr>
                <w:tbl>
                  <w:tblPr>
                    <w:tblStyle w:val="29"/>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46"/>
                    <w:gridCol w:w="1740"/>
                    <w:gridCol w:w="2034"/>
                    <w:gridCol w:w="290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40" w:type="pct"/>
                        <w:noWrap w:val="0"/>
                        <w:tcMar>
                          <w:top w:w="15" w:type="dxa"/>
                          <w:left w:w="15" w:type="dxa"/>
                          <w:right w:w="15" w:type="dxa"/>
                        </w:tcMar>
                        <w:vAlign w:val="center"/>
                      </w:tcPr>
                      <w:p>
                        <w:pPr>
                          <w:pStyle w:val="116"/>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序号</w:t>
                        </w:r>
                      </w:p>
                    </w:tc>
                    <w:tc>
                      <w:tcPr>
                        <w:tcW w:w="1187" w:type="pct"/>
                        <w:noWrap w:val="0"/>
                        <w:tcMar>
                          <w:top w:w="15" w:type="dxa"/>
                          <w:left w:w="15" w:type="dxa"/>
                          <w:right w:w="15" w:type="dxa"/>
                        </w:tcMar>
                        <w:vAlign w:val="center"/>
                      </w:tcPr>
                      <w:p>
                        <w:pPr>
                          <w:pStyle w:val="122"/>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产品</w:t>
                        </w:r>
                        <w:r>
                          <w:rPr>
                            <w:rFonts w:hint="default" w:ascii="Times New Roman" w:hAnsi="Times New Roman" w:eastAsia="宋体" w:cs="Times New Roman"/>
                            <w:color w:val="000000" w:themeColor="text1"/>
                            <w:sz w:val="21"/>
                            <w:szCs w:val="21"/>
                            <w:lang w:eastAsia="zh-CN"/>
                            <w14:textFill>
                              <w14:solidFill>
                                <w14:schemeClr w14:val="tx1"/>
                              </w14:solidFill>
                            </w14:textFill>
                          </w:rPr>
                          <w:t>名称</w:t>
                        </w:r>
                      </w:p>
                    </w:tc>
                    <w:tc>
                      <w:tcPr>
                        <w:tcW w:w="1388" w:type="pct"/>
                        <w:noWrap w:val="0"/>
                        <w:tcMar>
                          <w:top w:w="15" w:type="dxa"/>
                          <w:left w:w="15" w:type="dxa"/>
                          <w:right w:w="15" w:type="dxa"/>
                        </w:tcMar>
                        <w:vAlign w:val="center"/>
                      </w:tcPr>
                      <w:p>
                        <w:pPr>
                          <w:pStyle w:val="122"/>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实际生产能力</w:t>
                        </w:r>
                      </w:p>
                    </w:tc>
                    <w:tc>
                      <w:tcPr>
                        <w:tcW w:w="1983" w:type="pct"/>
                        <w:noWrap w:val="0"/>
                        <w:tcMar>
                          <w:top w:w="15" w:type="dxa"/>
                          <w:left w:w="15" w:type="dxa"/>
                          <w:right w:w="15" w:type="dxa"/>
                        </w:tcMar>
                        <w:vAlign w:val="center"/>
                      </w:tcPr>
                      <w:p>
                        <w:pPr>
                          <w:pStyle w:val="122"/>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40" w:type="pct"/>
                        <w:noWrap/>
                        <w:tcMar>
                          <w:top w:w="15" w:type="dxa"/>
                          <w:left w:w="15" w:type="dxa"/>
                          <w:right w:w="15" w:type="dxa"/>
                        </w:tcMar>
                        <w:vAlign w:val="center"/>
                      </w:tcPr>
                      <w:p>
                        <w:pPr>
                          <w:pStyle w:val="116"/>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187" w:type="pct"/>
                        <w:noWrap/>
                        <w:tcMar>
                          <w:top w:w="15" w:type="dxa"/>
                          <w:left w:w="15" w:type="dxa"/>
                          <w:right w:w="15" w:type="dxa"/>
                        </w:tcMar>
                        <w:vAlign w:val="center"/>
                      </w:tcPr>
                      <w:p>
                        <w:pPr>
                          <w:pStyle w:val="122"/>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kern w:val="2"/>
                            <w:szCs w:val="24"/>
                            <w:highlight w:val="none"/>
                            <w:lang w:val="en-US" w:eastAsia="zh-CN"/>
                            <w14:textFill>
                              <w14:solidFill>
                                <w14:schemeClr w14:val="tx1"/>
                              </w14:solidFill>
                            </w14:textFill>
                          </w:rPr>
                          <w:t>药物分析检测</w:t>
                        </w:r>
                      </w:p>
                    </w:tc>
                    <w:tc>
                      <w:tcPr>
                        <w:tcW w:w="1388" w:type="pct"/>
                        <w:noWrap w:val="0"/>
                        <w:tcMar>
                          <w:top w:w="15" w:type="dxa"/>
                          <w:left w:w="15" w:type="dxa"/>
                          <w:right w:w="15" w:type="dxa"/>
                        </w:tcMar>
                        <w:vAlign w:val="center"/>
                      </w:tcPr>
                      <w:p>
                        <w:pPr>
                          <w:adjustRightInd w:val="0"/>
                          <w:snapToGrid w:val="0"/>
                          <w:ind w:left="-63" w:leftChars="-30" w:right="-63" w:rightChars="-3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1983" w:type="pct"/>
                        <w:noWrap/>
                        <w:tcMar>
                          <w:top w:w="15" w:type="dxa"/>
                          <w:left w:w="15" w:type="dxa"/>
                          <w:right w:w="15" w:type="dxa"/>
                        </w:tcMar>
                        <w:vAlign w:val="center"/>
                      </w:tcPr>
                      <w:p>
                        <w:pPr>
                          <w:pStyle w:val="1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kern w:val="2"/>
                            <w:szCs w:val="24"/>
                            <w:highlight w:val="none"/>
                            <w:lang w:val="en-US" w:eastAsia="zh-CN"/>
                            <w14:textFill>
                              <w14:solidFill>
                                <w14:schemeClr w14:val="tx1"/>
                              </w14:solidFill>
                            </w14:textFill>
                          </w:rPr>
                          <w:t>根据客户要求，建设单位负责检验药物成分、理化性质等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40" w:type="pct"/>
                        <w:noWrap/>
                        <w:tcMar>
                          <w:top w:w="15" w:type="dxa"/>
                          <w:left w:w="15" w:type="dxa"/>
                          <w:right w:w="15" w:type="dxa"/>
                        </w:tcMar>
                        <w:vAlign w:val="center"/>
                      </w:tcPr>
                      <w:p>
                        <w:pPr>
                          <w:pStyle w:val="116"/>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187" w:type="pct"/>
                        <w:noWrap/>
                        <w:tcMar>
                          <w:top w:w="15" w:type="dxa"/>
                          <w:left w:w="15" w:type="dxa"/>
                          <w:right w:w="15" w:type="dxa"/>
                        </w:tcMar>
                        <w:vAlign w:val="center"/>
                      </w:tcPr>
                      <w:p>
                        <w:pPr>
                          <w:pStyle w:val="122"/>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highlight w:val="none"/>
                            <w:lang w:val="en-US" w:eastAsia="zh-CN"/>
                            <w14:textFill>
                              <w14:solidFill>
                                <w14:schemeClr w14:val="tx1"/>
                              </w14:solidFill>
                            </w14:textFill>
                          </w:rPr>
                          <w:t>动物或细胞实验（药物的药效和毒理实验）</w:t>
                        </w:r>
                      </w:p>
                    </w:tc>
                    <w:tc>
                      <w:tcPr>
                        <w:tcW w:w="1388" w:type="pct"/>
                        <w:noWrap w:val="0"/>
                        <w:tcMar>
                          <w:top w:w="15" w:type="dxa"/>
                          <w:left w:w="15" w:type="dxa"/>
                          <w:right w:w="15" w:type="dxa"/>
                        </w:tcMar>
                        <w:vAlign w:val="center"/>
                      </w:tcPr>
                      <w:p>
                        <w:pPr>
                          <w:pStyle w:val="122"/>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1983" w:type="pct"/>
                        <w:noWrap/>
                        <w:tcMar>
                          <w:top w:w="15" w:type="dxa"/>
                          <w:left w:w="15" w:type="dxa"/>
                          <w:right w:w="15" w:type="dxa"/>
                        </w:tcMar>
                        <w:vAlign w:val="center"/>
                      </w:tcPr>
                      <w:p>
                        <w:pPr>
                          <w:pStyle w:val="1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kern w:val="2"/>
                            <w:szCs w:val="24"/>
                            <w:highlight w:val="none"/>
                            <w:lang w:val="en-US" w:eastAsia="zh-CN"/>
                            <w14:textFill>
                              <w14:solidFill>
                                <w14:schemeClr w14:val="tx1"/>
                              </w14:solidFill>
                            </w14:textFill>
                          </w:rPr>
                          <w:t>供药单位提供药物，通过动物或细胞进行实验，研究该药物对疾病的治疗效果及对动物或细胞的毒性作用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40" w:type="pct"/>
                        <w:noWrap/>
                        <w:tcMar>
                          <w:top w:w="15" w:type="dxa"/>
                          <w:left w:w="15" w:type="dxa"/>
                          <w:right w:w="15" w:type="dxa"/>
                        </w:tcMar>
                        <w:vAlign w:val="center"/>
                      </w:tcPr>
                      <w:p>
                        <w:pPr>
                          <w:pStyle w:val="116"/>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c>
                      <w:tcPr>
                        <w:tcW w:w="1187" w:type="pct"/>
                        <w:noWrap/>
                        <w:tcMar>
                          <w:top w:w="15" w:type="dxa"/>
                          <w:left w:w="15" w:type="dxa"/>
                          <w:right w:w="15" w:type="dxa"/>
                        </w:tcMar>
                        <w:vAlign w:val="center"/>
                      </w:tcPr>
                      <w:p>
                        <w:pPr>
                          <w:pStyle w:val="122"/>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药物的制剂实验</w:t>
                        </w:r>
                      </w:p>
                    </w:tc>
                    <w:tc>
                      <w:tcPr>
                        <w:tcW w:w="1388" w:type="pct"/>
                        <w:noWrap w:val="0"/>
                        <w:tcMar>
                          <w:top w:w="15" w:type="dxa"/>
                          <w:left w:w="15" w:type="dxa"/>
                          <w:right w:w="15" w:type="dxa"/>
                        </w:tcMar>
                        <w:vAlign w:val="center"/>
                      </w:tcPr>
                      <w:p>
                        <w:pPr>
                          <w:pStyle w:val="122"/>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1983" w:type="pct"/>
                        <w:noWrap/>
                        <w:tcMar>
                          <w:top w:w="15" w:type="dxa"/>
                          <w:left w:w="15" w:type="dxa"/>
                          <w:right w:w="15" w:type="dxa"/>
                        </w:tcMar>
                        <w:vAlign w:val="center"/>
                      </w:tcPr>
                      <w:p>
                        <w:pPr>
                          <w:pStyle w:val="10"/>
                          <w:jc w:val="center"/>
                          <w:rPr>
                            <w:rFonts w:hint="eastAsia"/>
                            <w:color w:val="000000" w:themeColor="text1"/>
                            <w:highlight w:val="none"/>
                            <w:lang w:val="en-US" w:eastAsia="zh-CN"/>
                            <w14:textFill>
                              <w14:solidFill>
                                <w14:schemeClr w14:val="tx1"/>
                              </w14:solidFill>
                            </w14:textFill>
                          </w:rPr>
                        </w:pPr>
                        <w:r>
                          <w:rPr>
                            <w:rFonts w:hint="eastAsia"/>
                            <w:color w:val="000000" w:themeColor="text1"/>
                            <w:kern w:val="2"/>
                            <w:szCs w:val="24"/>
                            <w:highlight w:val="none"/>
                            <w:lang w:val="en-US" w:eastAsia="zh-CN"/>
                            <w14:textFill>
                              <w14:solidFill>
                                <w14:schemeClr w14:val="tx1"/>
                              </w14:solidFill>
                            </w14:textFill>
                          </w:rPr>
                          <w:t>通过水提和醇提小规模制剂（制成固体态药剂或液态药剂）</w:t>
                        </w:r>
                      </w:p>
                    </w:tc>
                  </w:tr>
                </w:tbl>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1" w:type="pct"/>
                  <w:gridSpan w:val="2"/>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环评时间</w:t>
                  </w:r>
                </w:p>
              </w:tc>
              <w:tc>
                <w:tcPr>
                  <w:tcW w:w="1464" w:type="pct"/>
                  <w:tcBorders>
                    <w:tl2br w:val="nil"/>
                    <w:tr2bl w:val="nil"/>
                  </w:tcBorders>
                  <w:vAlign w:val="center"/>
                </w:tcPr>
                <w:p>
                  <w:pPr>
                    <w:adjustRightInd w:val="0"/>
                    <w:snapToGrid w:val="0"/>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rFonts w:hint="eastAsia"/>
                      <w:color w:val="000000" w:themeColor="text1"/>
                      <w:szCs w:val="21"/>
                      <w:lang w:val="en-US" w:eastAsia="zh-CN"/>
                      <w14:textFill>
                        <w14:solidFill>
                          <w14:schemeClr w14:val="tx1"/>
                        </w14:solidFill>
                      </w14:textFill>
                    </w:rPr>
                    <w:t>022</w:t>
                  </w:r>
                  <w:r>
                    <w:rPr>
                      <w:rFonts w:hint="eastAsia"/>
                      <w:color w:val="000000" w:themeColor="text1"/>
                      <w:szCs w:val="21"/>
                      <w14:textFill>
                        <w14:solidFill>
                          <w14:schemeClr w14:val="tx1"/>
                        </w14:solidFill>
                      </w14:textFill>
                    </w:rPr>
                    <w:t>年</w:t>
                  </w:r>
                  <w:r>
                    <w:rPr>
                      <w:rFonts w:hint="eastAsia"/>
                      <w:color w:val="000000" w:themeColor="text1"/>
                      <w:szCs w:val="21"/>
                      <w:lang w:val="en-US" w:eastAsia="zh-CN"/>
                      <w14:textFill>
                        <w14:solidFill>
                          <w14:schemeClr w14:val="tx1"/>
                        </w14:solidFill>
                      </w14:textFill>
                    </w:rPr>
                    <w:t>9</w:t>
                  </w:r>
                  <w:r>
                    <w:rPr>
                      <w:rFonts w:hint="eastAsia"/>
                      <w:color w:val="000000" w:themeColor="text1"/>
                      <w:szCs w:val="21"/>
                      <w14:textFill>
                        <w14:solidFill>
                          <w14:schemeClr w14:val="tx1"/>
                        </w14:solidFill>
                      </w14:textFill>
                    </w:rPr>
                    <w:t>月</w:t>
                  </w:r>
                </w:p>
              </w:tc>
              <w:tc>
                <w:tcPr>
                  <w:tcW w:w="886"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开工日期</w:t>
                  </w:r>
                </w:p>
              </w:tc>
              <w:tc>
                <w:tcPr>
                  <w:tcW w:w="1778" w:type="pct"/>
                  <w:gridSpan w:val="3"/>
                  <w:tcBorders>
                    <w:tl2br w:val="nil"/>
                    <w:tr2bl w:val="nil"/>
                  </w:tcBorders>
                  <w:vAlign w:val="center"/>
                </w:tcPr>
                <w:p>
                  <w:pPr>
                    <w:adjustRightInd w:val="0"/>
                    <w:snapToGrid w:val="0"/>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202</w:t>
                  </w:r>
                  <w:r>
                    <w:rPr>
                      <w:rFonts w:hint="eastAsia"/>
                      <w:color w:val="000000" w:themeColor="text1"/>
                      <w:szCs w:val="21"/>
                      <w:lang w:val="en-US" w:eastAsia="zh-CN"/>
                      <w14:textFill>
                        <w14:solidFill>
                          <w14:schemeClr w14:val="tx1"/>
                        </w14:solidFill>
                      </w14:textFill>
                    </w:rPr>
                    <w:t>2</w:t>
                  </w:r>
                  <w:r>
                    <w:rPr>
                      <w:rFonts w:hint="eastAsia"/>
                      <w:color w:val="000000" w:themeColor="text1"/>
                      <w:szCs w:val="21"/>
                      <w14:textFill>
                        <w14:solidFill>
                          <w14:schemeClr w14:val="tx1"/>
                        </w14:solidFill>
                      </w14:textFill>
                    </w:rPr>
                    <w:t>年</w:t>
                  </w:r>
                  <w:r>
                    <w:rPr>
                      <w:rFonts w:hint="eastAsia"/>
                      <w:color w:val="000000" w:themeColor="text1"/>
                      <w:szCs w:val="21"/>
                      <w:lang w:val="en-US" w:eastAsia="zh-CN"/>
                      <w14:textFill>
                        <w14:solidFill>
                          <w14:schemeClr w14:val="tx1"/>
                        </w14:solidFill>
                      </w14:textFill>
                    </w:rPr>
                    <w:t>9</w:t>
                  </w:r>
                  <w:r>
                    <w:rPr>
                      <w:rFonts w:hint="eastAsia"/>
                      <w:color w:val="000000" w:themeColor="text1"/>
                      <w:szCs w:val="21"/>
                      <w14:textFill>
                        <w14:solidFill>
                          <w14:schemeClr w14:val="tx1"/>
                        </w14:solidFill>
                      </w14:textFill>
                    </w:rPr>
                    <w:t>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871" w:type="pct"/>
                  <w:gridSpan w:val="2"/>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投入试生产时间</w:t>
                  </w:r>
                </w:p>
              </w:tc>
              <w:tc>
                <w:tcPr>
                  <w:tcW w:w="1464" w:type="pct"/>
                  <w:tcBorders>
                    <w:tl2br w:val="nil"/>
                    <w:tr2bl w:val="nil"/>
                  </w:tcBorders>
                  <w:vAlign w:val="center"/>
                </w:tcPr>
                <w:p>
                  <w:pPr>
                    <w:adjustRightInd w:val="0"/>
                    <w:snapToGrid w:val="0"/>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202</w:t>
                  </w:r>
                  <w:r>
                    <w:rPr>
                      <w:rFonts w:hint="eastAsia"/>
                      <w:color w:val="000000" w:themeColor="text1"/>
                      <w:szCs w:val="21"/>
                      <w:lang w:val="en-US" w:eastAsia="zh-CN"/>
                      <w14:textFill>
                        <w14:solidFill>
                          <w14:schemeClr w14:val="tx1"/>
                        </w14:solidFill>
                      </w14:textFill>
                    </w:rPr>
                    <w:t>3</w:t>
                  </w:r>
                  <w:r>
                    <w:rPr>
                      <w:rFonts w:hint="eastAsia"/>
                      <w:color w:val="000000" w:themeColor="text1"/>
                      <w:szCs w:val="21"/>
                      <w14:textFill>
                        <w14:solidFill>
                          <w14:schemeClr w14:val="tx1"/>
                        </w14:solidFill>
                      </w14:textFill>
                    </w:rPr>
                    <w:t>年</w:t>
                  </w:r>
                  <w:r>
                    <w:rPr>
                      <w:rFonts w:hint="eastAsia"/>
                      <w:color w:val="000000" w:themeColor="text1"/>
                      <w:szCs w:val="21"/>
                      <w:lang w:val="en-US" w:eastAsia="zh-CN"/>
                      <w14:textFill>
                        <w14:solidFill>
                          <w14:schemeClr w14:val="tx1"/>
                        </w14:solidFill>
                      </w14:textFill>
                    </w:rPr>
                    <w:t>12</w:t>
                  </w:r>
                  <w:r>
                    <w:rPr>
                      <w:rFonts w:hint="eastAsia"/>
                      <w:color w:val="000000" w:themeColor="text1"/>
                      <w:szCs w:val="21"/>
                      <w14:textFill>
                        <w14:solidFill>
                          <w14:schemeClr w14:val="tx1"/>
                        </w14:solidFill>
                      </w14:textFill>
                    </w:rPr>
                    <w:t>月</w:t>
                  </w:r>
                </w:p>
              </w:tc>
              <w:tc>
                <w:tcPr>
                  <w:tcW w:w="886"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现场监测时间</w:t>
                  </w:r>
                </w:p>
              </w:tc>
              <w:tc>
                <w:tcPr>
                  <w:tcW w:w="1778" w:type="pct"/>
                  <w:gridSpan w:val="3"/>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highlight w:val="none"/>
                      <w14:textFill>
                        <w14:solidFill>
                          <w14:schemeClr w14:val="tx1"/>
                        </w14:solidFill>
                      </w14:textFill>
                    </w:rPr>
                    <w:t>202</w:t>
                  </w:r>
                  <w:r>
                    <w:rPr>
                      <w:rFonts w:hint="eastAsia"/>
                      <w:color w:val="000000" w:themeColor="text1"/>
                      <w:szCs w:val="21"/>
                      <w:highlight w:val="none"/>
                      <w:lang w:val="en-US" w:eastAsia="zh-CN"/>
                      <w14:textFill>
                        <w14:solidFill>
                          <w14:schemeClr w14:val="tx1"/>
                        </w14:solidFill>
                      </w14:textFill>
                    </w:rPr>
                    <w:t>4</w:t>
                  </w:r>
                  <w:r>
                    <w:rPr>
                      <w:rFonts w:hint="eastAsia"/>
                      <w:color w:val="000000" w:themeColor="text1"/>
                      <w:szCs w:val="21"/>
                      <w:highlight w:val="none"/>
                      <w14:textFill>
                        <w14:solidFill>
                          <w14:schemeClr w14:val="tx1"/>
                        </w14:solidFill>
                      </w14:textFill>
                    </w:rPr>
                    <w:t>年</w:t>
                  </w:r>
                  <w:r>
                    <w:rPr>
                      <w:rFonts w:hint="eastAsia"/>
                      <w:color w:val="000000" w:themeColor="text1"/>
                      <w:szCs w:val="21"/>
                      <w:highlight w:val="none"/>
                      <w:lang w:val="en-US" w:eastAsia="zh-CN"/>
                      <w14:textFill>
                        <w14:solidFill>
                          <w14:schemeClr w14:val="tx1"/>
                        </w14:solidFill>
                      </w14:textFill>
                    </w:rPr>
                    <w:t>5</w:t>
                  </w:r>
                  <w:r>
                    <w:rPr>
                      <w:rFonts w:hint="eastAsia"/>
                      <w:color w:val="000000" w:themeColor="text1"/>
                      <w:szCs w:val="21"/>
                      <w:highlight w:val="none"/>
                      <w14:textFill>
                        <w14:solidFill>
                          <w14:schemeClr w14:val="tx1"/>
                        </w14:solidFill>
                      </w14:textFill>
                    </w:rPr>
                    <w:t>月</w:t>
                  </w:r>
                  <w:r>
                    <w:rPr>
                      <w:rFonts w:hint="eastAsia"/>
                      <w:color w:val="000000" w:themeColor="text1"/>
                      <w:szCs w:val="21"/>
                      <w:highlight w:val="none"/>
                      <w:lang w:val="en-US" w:eastAsia="zh-CN"/>
                      <w14:textFill>
                        <w14:solidFill>
                          <w14:schemeClr w14:val="tx1"/>
                        </w14:solidFill>
                      </w14:textFill>
                    </w:rPr>
                    <w:t>8</w:t>
                  </w:r>
                  <w:r>
                    <w:rPr>
                      <w:rFonts w:hint="eastAsia"/>
                      <w:color w:val="000000" w:themeColor="text1"/>
                      <w:szCs w:val="21"/>
                      <w:highlight w:val="none"/>
                      <w14:textFill>
                        <w14:solidFill>
                          <w14:schemeClr w14:val="tx1"/>
                        </w14:solidFill>
                      </w14:textFill>
                    </w:rPr>
                    <w:t>日~</w:t>
                  </w:r>
                  <w:r>
                    <w:rPr>
                      <w:rFonts w:hint="eastAsia"/>
                      <w:color w:val="000000" w:themeColor="text1"/>
                      <w:szCs w:val="21"/>
                      <w:highlight w:val="none"/>
                      <w:lang w:val="en-US" w:eastAsia="zh-CN"/>
                      <w14:textFill>
                        <w14:solidFill>
                          <w14:schemeClr w14:val="tx1"/>
                        </w14:solidFill>
                      </w14:textFill>
                    </w:rPr>
                    <w:t>2024年5月9</w:t>
                  </w:r>
                  <w:r>
                    <w:rPr>
                      <w:rFonts w:hint="eastAsia"/>
                      <w:color w:val="000000" w:themeColor="text1"/>
                      <w:szCs w:val="21"/>
                      <w:highlight w:val="none"/>
                      <w14:textFill>
                        <w14:solidFill>
                          <w14:schemeClr w14:val="tx1"/>
                        </w14:solidFill>
                      </w14:textFill>
                    </w:rPr>
                    <w:t>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pct"/>
                  <w:gridSpan w:val="2"/>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环评报告表审批部门</w:t>
                  </w:r>
                </w:p>
              </w:tc>
              <w:tc>
                <w:tcPr>
                  <w:tcW w:w="1464" w:type="pct"/>
                  <w:tcBorders>
                    <w:tl2br w:val="nil"/>
                    <w:tr2bl w:val="nil"/>
                  </w:tcBorders>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南昌高新技术产业开发区管理委员会城市管理局</w:t>
                  </w:r>
                </w:p>
              </w:tc>
              <w:tc>
                <w:tcPr>
                  <w:tcW w:w="886"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环评</w:t>
                  </w:r>
                  <w:r>
                    <w:rPr>
                      <w:rFonts w:hint="eastAsia"/>
                      <w:color w:val="000000" w:themeColor="text1"/>
                      <w:szCs w:val="21"/>
                      <w14:textFill>
                        <w14:solidFill>
                          <w14:schemeClr w14:val="tx1"/>
                        </w14:solidFill>
                      </w14:textFill>
                    </w:rPr>
                    <w:t>报告</w:t>
                  </w:r>
                  <w:r>
                    <w:rPr>
                      <w:color w:val="000000" w:themeColor="text1"/>
                      <w:szCs w:val="21"/>
                      <w14:textFill>
                        <w14:solidFill>
                          <w14:schemeClr w14:val="tx1"/>
                        </w14:solidFill>
                      </w14:textFill>
                    </w:rPr>
                    <w:t>表</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编制单位</w:t>
                  </w:r>
                </w:p>
              </w:tc>
              <w:tc>
                <w:tcPr>
                  <w:tcW w:w="1778" w:type="pct"/>
                  <w:gridSpan w:val="3"/>
                  <w:tcBorders>
                    <w:tl2br w:val="nil"/>
                    <w:tr2bl w:val="nil"/>
                  </w:tcBorders>
                  <w:vAlign w:val="center"/>
                </w:tcPr>
                <w:p>
                  <w:pPr>
                    <w:adjustRightInd w:val="0"/>
                    <w:snapToGrid w:val="0"/>
                    <w:ind w:left="-105" w:leftChars="-50" w:right="-105" w:rightChars="-5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南昌航大节能环保服务有限公司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pct"/>
                  <w:gridSpan w:val="2"/>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环保设施</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设计单位</w:t>
                  </w:r>
                </w:p>
              </w:tc>
              <w:tc>
                <w:tcPr>
                  <w:tcW w:w="1464"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86"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环保设施</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施工单位</w:t>
                  </w:r>
                </w:p>
              </w:tc>
              <w:tc>
                <w:tcPr>
                  <w:tcW w:w="1778" w:type="pct"/>
                  <w:gridSpan w:val="3"/>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71" w:type="pct"/>
                  <w:gridSpan w:val="2"/>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投资总概算</w:t>
                  </w:r>
                </w:p>
              </w:tc>
              <w:tc>
                <w:tcPr>
                  <w:tcW w:w="1464" w:type="pct"/>
                  <w:tcBorders>
                    <w:tl2br w:val="nil"/>
                    <w:tr2bl w:val="nil"/>
                  </w:tcBorders>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2300</w:t>
                  </w:r>
                  <w:r>
                    <w:rPr>
                      <w:rFonts w:hint="eastAsia"/>
                      <w:color w:val="000000" w:themeColor="text1"/>
                      <w:szCs w:val="21"/>
                      <w14:textFill>
                        <w14:solidFill>
                          <w14:schemeClr w14:val="tx1"/>
                        </w14:solidFill>
                      </w14:textFill>
                    </w:rPr>
                    <w:t>万元</w:t>
                  </w:r>
                </w:p>
              </w:tc>
              <w:tc>
                <w:tcPr>
                  <w:tcW w:w="886"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环保投资总概算</w:t>
                  </w:r>
                </w:p>
              </w:tc>
              <w:tc>
                <w:tcPr>
                  <w:tcW w:w="759" w:type="pct"/>
                  <w:tcBorders>
                    <w:tl2br w:val="nil"/>
                    <w:tr2bl w:val="nil"/>
                  </w:tcBorders>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50</w:t>
                  </w:r>
                  <w:r>
                    <w:rPr>
                      <w:rFonts w:hint="eastAsia"/>
                      <w:color w:val="000000" w:themeColor="text1"/>
                      <w:sz w:val="21"/>
                      <w:szCs w:val="21"/>
                      <w:lang w:val="en-US" w:eastAsia="zh-CN"/>
                      <w14:textFill>
                        <w14:solidFill>
                          <w14:schemeClr w14:val="tx1"/>
                        </w14:solidFill>
                      </w14:textFill>
                    </w:rPr>
                    <w:t>万元</w:t>
                  </w:r>
                </w:p>
              </w:tc>
              <w:tc>
                <w:tcPr>
                  <w:tcW w:w="452"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比例</w:t>
                  </w:r>
                </w:p>
              </w:tc>
              <w:tc>
                <w:tcPr>
                  <w:tcW w:w="567" w:type="pct"/>
                  <w:tcBorders>
                    <w:tl2br w:val="nil"/>
                    <w:tr2bl w:val="nil"/>
                  </w:tcBorders>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1" w:type="pct"/>
                  <w:gridSpan w:val="2"/>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实际总投资</w:t>
                  </w:r>
                </w:p>
              </w:tc>
              <w:tc>
                <w:tcPr>
                  <w:tcW w:w="1464"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2300</w:t>
                  </w:r>
                  <w:r>
                    <w:rPr>
                      <w:rFonts w:hint="eastAsia"/>
                      <w:color w:val="000000" w:themeColor="text1"/>
                      <w:szCs w:val="21"/>
                      <w14:textFill>
                        <w14:solidFill>
                          <w14:schemeClr w14:val="tx1"/>
                        </w14:solidFill>
                      </w14:textFill>
                    </w:rPr>
                    <w:t>万元</w:t>
                  </w:r>
                </w:p>
              </w:tc>
              <w:tc>
                <w:tcPr>
                  <w:tcW w:w="886"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实际环保投资</w:t>
                  </w:r>
                </w:p>
              </w:tc>
              <w:tc>
                <w:tcPr>
                  <w:tcW w:w="759" w:type="pct"/>
                  <w:tcBorders>
                    <w:tl2br w:val="nil"/>
                    <w:tr2bl w:val="nil"/>
                  </w:tcBorders>
                  <w:vAlign w:val="center"/>
                </w:tcPr>
                <w:p>
                  <w:pPr>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55万元</w:t>
                  </w:r>
                </w:p>
              </w:tc>
              <w:tc>
                <w:tcPr>
                  <w:tcW w:w="452"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比例</w:t>
                  </w:r>
                </w:p>
              </w:tc>
              <w:tc>
                <w:tcPr>
                  <w:tcW w:w="567" w:type="pct"/>
                  <w:tcBorders>
                    <w:tl2br w:val="nil"/>
                    <w:tr2bl w:val="nil"/>
                  </w:tcBorders>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512" w:type="pct"/>
                  <w:tcBorders>
                    <w:tl2br w:val="nil"/>
                    <w:tr2bl w:val="nil"/>
                  </w:tcBorders>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验收监测依据</w:t>
                  </w:r>
                </w:p>
              </w:tc>
              <w:tc>
                <w:tcPr>
                  <w:tcW w:w="4487"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1</w:t>
                  </w:r>
                  <w:r>
                    <w:rPr>
                      <w:rFonts w:hint="eastAsia"/>
                      <w:color w:val="000000" w:themeColor="text1"/>
                      <w:sz w:val="24"/>
                      <w:szCs w:val="24"/>
                      <w:lang w:eastAsia="zh-CN"/>
                      <w14:textFill>
                        <w14:solidFill>
                          <w14:schemeClr w14:val="tx1"/>
                        </w14:solidFill>
                      </w14:textFill>
                    </w:rPr>
                    <w:t>）《中华人民共和国环境保护法》；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2</w:t>
                  </w:r>
                  <w:r>
                    <w:rPr>
                      <w:rFonts w:hint="eastAsia"/>
                      <w:color w:val="000000" w:themeColor="text1"/>
                      <w:sz w:val="24"/>
                      <w:szCs w:val="24"/>
                      <w:lang w:eastAsia="zh-CN"/>
                      <w14:textFill>
                        <w14:solidFill>
                          <w14:schemeClr w14:val="tx1"/>
                        </w14:solidFill>
                      </w14:textFill>
                    </w:rPr>
                    <w:t>）《建设项目环境保护管理条例》(国令第682号)；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3</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 xml:space="preserve"> </w:t>
                  </w:r>
                  <w:r>
                    <w:rPr>
                      <w:rFonts w:hint="eastAsia"/>
                      <w:color w:val="000000" w:themeColor="text1"/>
                      <w:sz w:val="24"/>
                      <w:szCs w:val="24"/>
                      <w:lang w:eastAsia="zh-CN"/>
                      <w14:textFill>
                        <w14:solidFill>
                          <w14:schemeClr w14:val="tx1"/>
                        </w14:solidFill>
                      </w14:textFill>
                    </w:rPr>
                    <w:t>《建设项目竣工环境保护验收暂行办法》（国环规环评[2017]4号）；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4</w:t>
                  </w:r>
                  <w:r>
                    <w:rPr>
                      <w:rFonts w:hint="eastAsia"/>
                      <w:color w:val="000000" w:themeColor="text1"/>
                      <w:sz w:val="24"/>
                      <w:szCs w:val="24"/>
                      <w:lang w:eastAsia="zh-CN"/>
                      <w14:textFill>
                        <w14:solidFill>
                          <w14:schemeClr w14:val="tx1"/>
                        </w14:solidFill>
                      </w14:textFill>
                    </w:rPr>
                    <w:t>）《江西省建设项目环境保护管理条例》；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5</w:t>
                  </w:r>
                  <w:r>
                    <w:rPr>
                      <w:rFonts w:hint="eastAsia"/>
                      <w:color w:val="000000" w:themeColor="text1"/>
                      <w:sz w:val="24"/>
                      <w:szCs w:val="24"/>
                      <w:lang w:eastAsia="zh-CN"/>
                      <w14:textFill>
                        <w14:solidFill>
                          <w14:schemeClr w14:val="tx1"/>
                        </w14:solidFill>
                      </w14:textFill>
                    </w:rPr>
                    <w:t>）《建设项目竣工环境保护验收技术指南污染影响类》（公告2018年第9号）；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）南昌高新技术产业开发区管理委员会城市管理局《关于中山大学南昌研究院生物医药研究中心建设项目环境影响报告表的批复》，洪高新管城审批字〔202</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46</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000000" w:themeColor="text1"/>
                      <w:lang w:val="en-US"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7</w:t>
                  </w:r>
                  <w:r>
                    <w:rPr>
                      <w:rFonts w:hint="eastAsia"/>
                      <w:color w:val="000000" w:themeColor="text1"/>
                      <w:sz w:val="24"/>
                      <w:szCs w:val="24"/>
                      <w:lang w:eastAsia="zh-CN"/>
                      <w14:textFill>
                        <w14:solidFill>
                          <w14:schemeClr w14:val="tx1"/>
                        </w14:solidFill>
                      </w14:textFill>
                    </w:rPr>
                    <w:t>）南昌航大节能环保服务有限公司《中山大学南昌研究院生物医药研究中心建设项目环境影响报告表》；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957" w:hRule="atLeast"/>
                <w:jc w:val="center"/>
              </w:trPr>
              <w:tc>
                <w:tcPr>
                  <w:tcW w:w="512" w:type="pct"/>
                  <w:tcBorders>
                    <w:top w:val="single" w:color="auto" w:sz="4" w:space="0"/>
                    <w:bottom w:val="single" w:color="auto" w:sz="4" w:space="0"/>
                    <w:tl2br w:val="nil"/>
                    <w:tr2bl w:val="nil"/>
                  </w:tcBorders>
                  <w:vAlign w:val="center"/>
                </w:tcPr>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验收监测评价标准、标号、级别、限值</w:t>
                  </w:r>
                </w:p>
              </w:tc>
              <w:tc>
                <w:tcPr>
                  <w:tcW w:w="4487" w:type="pct"/>
                  <w:gridSpan w:val="6"/>
                  <w:tcBorders>
                    <w:top w:val="single" w:color="auto" w:sz="4" w:space="0"/>
                    <w:tl2br w:val="nil"/>
                    <w:tr2bl w:val="nil"/>
                  </w:tcBorders>
                  <w:vAlign w:val="center"/>
                </w:tcPr>
                <w:p>
                  <w:pPr>
                    <w:adjustRightInd w:val="0"/>
                    <w:snapToGrid w:val="0"/>
                    <w:spacing w:line="24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1、环境质量标准：</w:t>
                  </w:r>
                </w:p>
                <w:p>
                  <w:pPr>
                    <w:pStyle w:val="110"/>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textAlignment w:val="auto"/>
                    <w:rPr>
                      <w:rFonts w:hint="default"/>
                      <w:bCs w:val="0"/>
                      <w:color w:val="000000" w:themeColor="text1"/>
                      <w14:textFill>
                        <w14:solidFill>
                          <w14:schemeClr w14:val="tx1"/>
                        </w14:solidFill>
                      </w14:textFill>
                    </w:rPr>
                  </w:pPr>
                  <w:r>
                    <w:rPr>
                      <w:bCs w:val="0"/>
                      <w:color w:val="000000" w:themeColor="text1"/>
                      <w14:textFill>
                        <w14:solidFill>
                          <w14:schemeClr w14:val="tx1"/>
                        </w14:solidFill>
                      </w14:textFill>
                    </w:rPr>
                    <w:t>表1-1 环境质量标准</w:t>
                  </w:r>
                </w:p>
                <w:tbl>
                  <w:tblPr>
                    <w:tblStyle w:val="2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4"/>
                    <w:gridCol w:w="3977"/>
                    <w:gridCol w:w="272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2" w:hRule="atLeast"/>
                      <w:tblHeader/>
                      <w:jc w:val="center"/>
                    </w:trPr>
                    <w:tc>
                      <w:tcPr>
                        <w:tcW w:w="798" w:type="pct"/>
                        <w:vAlign w:val="center"/>
                      </w:tcPr>
                      <w:p>
                        <w:pPr>
                          <w:pStyle w:val="90"/>
                          <w:widowControl w:val="0"/>
                          <w:adjustRightInd w:val="0"/>
                          <w:snapToGrid w:val="0"/>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分</w:t>
                        </w:r>
                        <w:r>
                          <w:rPr>
                            <w:rFonts w:hint="eastAsia"/>
                            <w:b/>
                            <w:color w:val="000000" w:themeColor="text1"/>
                            <w:sz w:val="21"/>
                            <w:szCs w:val="21"/>
                            <w14:textFill>
                              <w14:solidFill>
                                <w14:schemeClr w14:val="tx1"/>
                              </w14:solidFill>
                            </w14:textFill>
                          </w:rPr>
                          <w:t>类</w:t>
                        </w:r>
                      </w:p>
                    </w:tc>
                    <w:tc>
                      <w:tcPr>
                        <w:tcW w:w="2491" w:type="pct"/>
                        <w:vAlign w:val="center"/>
                      </w:tcPr>
                      <w:p>
                        <w:pPr>
                          <w:pStyle w:val="90"/>
                          <w:widowControl w:val="0"/>
                          <w:adjustRightInd w:val="0"/>
                          <w:snapToGrid w:val="0"/>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标准名称</w:t>
                        </w:r>
                      </w:p>
                    </w:tc>
                    <w:tc>
                      <w:tcPr>
                        <w:tcW w:w="1709" w:type="pct"/>
                        <w:vAlign w:val="center"/>
                      </w:tcPr>
                      <w:p>
                        <w:pPr>
                          <w:pStyle w:val="90"/>
                          <w:widowControl w:val="0"/>
                          <w:adjustRightInd w:val="0"/>
                          <w:snapToGrid w:val="0"/>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类别</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98" w:type="pct"/>
                        <w:vAlign w:val="center"/>
                      </w:tcPr>
                      <w:p>
                        <w:pPr>
                          <w:pStyle w:val="90"/>
                          <w:widowControl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环境空气</w:t>
                        </w:r>
                      </w:p>
                    </w:tc>
                    <w:tc>
                      <w:tcPr>
                        <w:tcW w:w="2491" w:type="pct"/>
                        <w:vAlign w:val="center"/>
                      </w:tcPr>
                      <w:p>
                        <w:pPr>
                          <w:pStyle w:val="90"/>
                          <w:widowControl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《环境空气质量标准》</w:t>
                        </w:r>
                        <w:r>
                          <w:rPr>
                            <w:rFonts w:hint="eastAsia"/>
                            <w:color w:val="000000" w:themeColor="text1"/>
                            <w:sz w:val="21"/>
                            <w:szCs w:val="21"/>
                            <w14:textFill>
                              <w14:solidFill>
                                <w14:schemeClr w14:val="tx1"/>
                              </w14:solidFill>
                            </w14:textFill>
                          </w:rPr>
                          <w:t>（GB3095-2012）</w:t>
                        </w:r>
                      </w:p>
                    </w:tc>
                    <w:tc>
                      <w:tcPr>
                        <w:tcW w:w="1709" w:type="pct"/>
                        <w:vAlign w:val="center"/>
                      </w:tcPr>
                      <w:p>
                        <w:pPr>
                          <w:pStyle w:val="90"/>
                          <w:widowControl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二级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798" w:type="pct"/>
                        <w:vAlign w:val="center"/>
                      </w:tcPr>
                      <w:p>
                        <w:pPr>
                          <w:pStyle w:val="90"/>
                          <w:widowControl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地表水</w:t>
                        </w:r>
                      </w:p>
                    </w:tc>
                    <w:tc>
                      <w:tcPr>
                        <w:tcW w:w="2491" w:type="pct"/>
                        <w:vAlign w:val="center"/>
                      </w:tcPr>
                      <w:p>
                        <w:pPr>
                          <w:pStyle w:val="90"/>
                          <w:widowControl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《地表水环境质量标准》</w:t>
                        </w:r>
                        <w:r>
                          <w:rPr>
                            <w:rFonts w:hint="eastAsia"/>
                            <w:color w:val="000000" w:themeColor="text1"/>
                            <w:sz w:val="21"/>
                            <w:szCs w:val="21"/>
                            <w:lang w:val="en-US" w:eastAsia="zh-CN"/>
                            <w14:textFill>
                              <w14:solidFill>
                                <w14:schemeClr w14:val="tx1"/>
                              </w14:solidFill>
                            </w14:textFill>
                          </w:rPr>
                          <w:t>（GB3838-2002）</w:t>
                        </w:r>
                      </w:p>
                    </w:tc>
                    <w:tc>
                      <w:tcPr>
                        <w:tcW w:w="1709" w:type="pct"/>
                        <w:vAlign w:val="center"/>
                      </w:tcPr>
                      <w:p>
                        <w:pPr>
                          <w:pStyle w:val="90"/>
                          <w:widowControl w:val="0"/>
                          <w:adjustRightInd w:val="0"/>
                          <w:snapToGrid w:val="0"/>
                          <w:rPr>
                            <w:color w:val="000000" w:themeColor="text1"/>
                            <w:sz w:val="21"/>
                            <w:szCs w:val="21"/>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IV</w:t>
                        </w:r>
                        <w:r>
                          <w:rPr>
                            <w:color w:val="000000" w:themeColor="text1"/>
                            <w:sz w:val="21"/>
                            <w:szCs w:val="21"/>
                            <w14:textFill>
                              <w14:solidFill>
                                <w14:schemeClr w14:val="tx1"/>
                              </w14:solidFill>
                            </w14:textFill>
                          </w:rPr>
                          <w:t>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798" w:type="pct"/>
                        <w:vAlign w:val="center"/>
                      </w:tcPr>
                      <w:p>
                        <w:pPr>
                          <w:pStyle w:val="90"/>
                          <w:widowControl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声环境</w:t>
                        </w:r>
                      </w:p>
                    </w:tc>
                    <w:tc>
                      <w:tcPr>
                        <w:tcW w:w="2491" w:type="pct"/>
                        <w:vAlign w:val="center"/>
                      </w:tcPr>
                      <w:p>
                        <w:pPr>
                          <w:pStyle w:val="90"/>
                          <w:widowControl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《声环境质量标准》</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GB3096-2008</w:t>
                        </w:r>
                        <w:r>
                          <w:rPr>
                            <w:rFonts w:hint="eastAsia"/>
                            <w:color w:val="000000" w:themeColor="text1"/>
                            <w:sz w:val="21"/>
                            <w:szCs w:val="21"/>
                            <w14:textFill>
                              <w14:solidFill>
                                <w14:schemeClr w14:val="tx1"/>
                              </w14:solidFill>
                            </w14:textFill>
                          </w:rPr>
                          <w:t>）</w:t>
                        </w:r>
                      </w:p>
                    </w:tc>
                    <w:tc>
                      <w:tcPr>
                        <w:tcW w:w="1709" w:type="pct"/>
                        <w:vAlign w:val="center"/>
                      </w:tcPr>
                      <w:p>
                        <w:pPr>
                          <w:pStyle w:val="90"/>
                          <w:widowControl w:val="0"/>
                          <w:adjustRightInd w:val="0"/>
                          <w:snapToGrid w:val="0"/>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r>
                          <w:rPr>
                            <w:rFonts w:hint="eastAsia"/>
                            <w:color w:val="000000" w:themeColor="text1"/>
                            <w:sz w:val="21"/>
                            <w:szCs w:val="21"/>
                            <w14:textFill>
                              <w14:solidFill>
                                <w14:schemeClr w14:val="tx1"/>
                              </w14:solidFill>
                            </w14:textFill>
                          </w:rPr>
                          <w:t>类</w:t>
                        </w:r>
                      </w:p>
                    </w:tc>
                  </w:tr>
                </w:tbl>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污染物排放标准：</w:t>
                  </w:r>
                </w:p>
                <w:p>
                  <w:pPr>
                    <w:adjustRightInd w:val="0"/>
                    <w:snapToGrid w:val="0"/>
                    <w:spacing w:line="360" w:lineRule="auto"/>
                    <w:ind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w:t>
                  </w:r>
                  <w:r>
                    <w:rPr>
                      <w:color w:val="000000" w:themeColor="text1"/>
                      <w:sz w:val="24"/>
                      <w:szCs w:val="24"/>
                      <w14:textFill>
                        <w14:solidFill>
                          <w14:schemeClr w14:val="tx1"/>
                        </w14:solidFill>
                      </w14:textFill>
                    </w:rPr>
                    <w:t>废气：</w:t>
                  </w:r>
                </w:p>
                <w:p>
                  <w:pPr>
                    <w:adjustRightInd w:val="0"/>
                    <w:snapToGrid w:val="0"/>
                    <w:spacing w:line="360" w:lineRule="auto"/>
                    <w:ind w:firstLine="480" w:firstLineChars="200"/>
                    <w:rPr>
                      <w:rFonts w:hint="eastAsia" w:eastAsia="宋体"/>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非甲烷总烃</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苯</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甲醇</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硫酸雾</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NOx</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HCl</w:t>
                  </w:r>
                  <w:r>
                    <w:rPr>
                      <w:rFonts w:hint="eastAsia" w:ascii="Times New Roman" w:hAnsi="Times New Roman" w:cs="Times New Roman"/>
                      <w:color w:val="000000" w:themeColor="text1"/>
                      <w:sz w:val="24"/>
                      <w:szCs w:val="24"/>
                      <w:lang w:eastAsia="zh-CN"/>
                      <w14:textFill>
                        <w14:solidFill>
                          <w14:schemeClr w14:val="tx1"/>
                        </w14:solidFill>
                      </w14:textFill>
                    </w:rPr>
                    <w:t>执行</w:t>
                  </w:r>
                  <w:r>
                    <w:rPr>
                      <w:rFonts w:hint="eastAsia" w:ascii="Times New Roman" w:hAnsi="Times New Roman" w:cs="Times New Roman"/>
                      <w:color w:val="000000" w:themeColor="text1"/>
                      <w:sz w:val="24"/>
                      <w:szCs w:val="24"/>
                      <w:lang w:val="zh-CN"/>
                      <w14:textFill>
                        <w14:solidFill>
                          <w14:schemeClr w14:val="tx1"/>
                        </w14:solidFill>
                      </w14:textFill>
                    </w:rPr>
                    <w:t>《大气污染物综合排放标准》（GB16297-1996）中</w:t>
                  </w:r>
                  <w:r>
                    <w:rPr>
                      <w:rFonts w:hint="eastAsia" w:ascii="Times New Roman" w:hAnsi="Times New Roman" w:cs="Times New Roman"/>
                      <w:color w:val="000000" w:themeColor="text1"/>
                      <w:sz w:val="24"/>
                      <w:szCs w:val="24"/>
                      <w14:textFill>
                        <w14:solidFill>
                          <w14:schemeClr w14:val="tx1"/>
                        </w14:solidFill>
                      </w14:textFill>
                    </w:rPr>
                    <w:t>表2</w:t>
                  </w:r>
                  <w:r>
                    <w:rPr>
                      <w:rFonts w:hint="eastAsia" w:ascii="Times New Roman" w:hAnsi="Times New Roman" w:cs="Times New Roman"/>
                      <w:color w:val="000000" w:themeColor="text1"/>
                      <w:sz w:val="24"/>
                      <w:szCs w:val="24"/>
                      <w:lang w:eastAsia="zh-CN"/>
                      <w14:textFill>
                        <w14:solidFill>
                          <w14:schemeClr w14:val="tx1"/>
                        </w14:solidFill>
                      </w14:textFill>
                    </w:rPr>
                    <w:t>标准限值</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厂房内无组织</w:t>
                  </w:r>
                  <w:r>
                    <w:rPr>
                      <w:rFonts w:hint="eastAsia" w:ascii="Times New Roman" w:hAnsi="Times New Roman" w:cs="Times New Roman"/>
                      <w:color w:val="000000" w:themeColor="text1"/>
                      <w:sz w:val="24"/>
                      <w:szCs w:val="24"/>
                      <w14:textFill>
                        <w14:solidFill>
                          <w14:schemeClr w14:val="tx1"/>
                        </w14:solidFill>
                      </w14:textFill>
                    </w:rPr>
                    <w:t>NHM</w:t>
                  </w:r>
                  <w:r>
                    <w:rPr>
                      <w:rFonts w:hint="eastAsia" w:ascii="Times New Roman" w:hAnsi="Times New Roman" w:cs="Times New Roman"/>
                      <w:color w:val="000000" w:themeColor="text1"/>
                      <w:sz w:val="24"/>
                      <w:szCs w:val="24"/>
                      <w:lang w:val="en-US" w:eastAsia="zh-CN"/>
                      <w14:textFill>
                        <w14:solidFill>
                          <w14:schemeClr w14:val="tx1"/>
                        </w14:solidFill>
                      </w14:textFill>
                    </w:rPr>
                    <w:t>C</w:t>
                  </w:r>
                  <w:r>
                    <w:rPr>
                      <w:rFonts w:hint="eastAsia" w:ascii="Times New Roman" w:hAnsi="Times New Roman" w:cs="Times New Roman"/>
                      <w:color w:val="000000" w:themeColor="text1"/>
                      <w:sz w:val="24"/>
                      <w:szCs w:val="24"/>
                      <w:lang w:eastAsia="zh-CN"/>
                      <w14:textFill>
                        <w14:solidFill>
                          <w14:schemeClr w14:val="tx1"/>
                        </w14:solidFill>
                      </w14:textFill>
                    </w:rPr>
                    <w:t>执行</w:t>
                  </w:r>
                  <w:r>
                    <w:rPr>
                      <w:rFonts w:hint="eastAsia" w:ascii="Times New Roman" w:hAnsi="Times New Roman" w:cs="Times New Roman"/>
                      <w:color w:val="000000" w:themeColor="text1"/>
                      <w:sz w:val="24"/>
                      <w:szCs w:val="24"/>
                      <w14:textFill>
                        <w14:solidFill>
                          <w14:schemeClr w14:val="tx1"/>
                        </w14:solidFill>
                      </w14:textFill>
                    </w:rPr>
                    <w:t>《挥发性有机物无组织排</w:t>
                  </w:r>
                  <w:bookmarkStart w:id="13" w:name="_GoBack"/>
                  <w:bookmarkEnd w:id="13"/>
                  <w:r>
                    <w:rPr>
                      <w:rFonts w:hint="eastAsia" w:ascii="Times New Roman" w:hAnsi="Times New Roman" w:cs="Times New Roman"/>
                      <w:color w:val="000000" w:themeColor="text1"/>
                      <w:sz w:val="24"/>
                      <w:szCs w:val="24"/>
                      <w14:textFill>
                        <w14:solidFill>
                          <w14:schemeClr w14:val="tx1"/>
                        </w14:solidFill>
                      </w14:textFill>
                    </w:rPr>
                    <w:t>放控制标准》（GB37822-2019）表A.1</w:t>
                  </w:r>
                  <w:r>
                    <w:rPr>
                      <w:rFonts w:hint="eastAsia" w:ascii="Times New Roman" w:hAnsi="Times New Roman" w:cs="Times New Roman"/>
                      <w:color w:val="000000" w:themeColor="text1"/>
                      <w:sz w:val="24"/>
                      <w:szCs w:val="24"/>
                      <w:lang w:eastAsia="zh-CN"/>
                      <w14:textFill>
                        <w14:solidFill>
                          <w14:schemeClr w14:val="tx1"/>
                        </w14:solidFill>
                      </w14:textFill>
                    </w:rPr>
                    <w:t>标准限值，</w:t>
                  </w:r>
                  <w:r>
                    <w:rPr>
                      <w:rFonts w:hint="eastAsia" w:ascii="Times New Roman" w:hAnsi="Times New Roman" w:cs="Times New Roman"/>
                      <w:color w:val="000000" w:themeColor="text1"/>
                      <w:sz w:val="24"/>
                      <w:szCs w:val="24"/>
                      <w14:textFill>
                        <w14:solidFill>
                          <w14:schemeClr w14:val="tx1"/>
                        </w14:solidFill>
                      </w14:textFill>
                    </w:rPr>
                    <w:t>氨</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硫化氢</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臭气浓度</w:t>
                  </w:r>
                  <w:r>
                    <w:rPr>
                      <w:rFonts w:hint="eastAsia" w:ascii="Times New Roman" w:hAnsi="Times New Roman" w:cs="Times New Roman"/>
                      <w:color w:val="000000" w:themeColor="text1"/>
                      <w:sz w:val="24"/>
                      <w:szCs w:val="24"/>
                      <w:lang w:eastAsia="zh-CN"/>
                      <w14:textFill>
                        <w14:solidFill>
                          <w14:schemeClr w14:val="tx1"/>
                        </w14:solidFill>
                      </w14:textFill>
                    </w:rPr>
                    <w:t>执行</w:t>
                  </w:r>
                  <w:r>
                    <w:rPr>
                      <w:rFonts w:hint="eastAsia" w:ascii="Times New Roman" w:hAnsi="Times New Roman" w:cs="Times New Roman"/>
                      <w:color w:val="000000" w:themeColor="text1"/>
                      <w:sz w:val="24"/>
                      <w:szCs w:val="24"/>
                      <w:lang w:val="zh-CN"/>
                      <w14:textFill>
                        <w14:solidFill>
                          <w14:schemeClr w14:val="tx1"/>
                        </w14:solidFill>
                      </w14:textFill>
                    </w:rPr>
                    <w:t>《恶臭污染物排放标准》（</w:t>
                  </w:r>
                  <w:r>
                    <w:rPr>
                      <w:rFonts w:hint="eastAsia" w:ascii="Times New Roman" w:hAnsi="Times New Roman" w:cs="Times New Roman"/>
                      <w:color w:val="000000" w:themeColor="text1"/>
                      <w:sz w:val="24"/>
                      <w:szCs w:val="24"/>
                      <w14:textFill>
                        <w14:solidFill>
                          <w14:schemeClr w14:val="tx1"/>
                        </w14:solidFill>
                      </w14:textFill>
                    </w:rPr>
                    <w:t>GB</w:t>
                  </w:r>
                  <w:r>
                    <w:rPr>
                      <w:rFonts w:hint="eastAsia" w:ascii="Times New Roman" w:hAnsi="Times New Roman" w:cs="Times New Roman"/>
                      <w:color w:val="000000" w:themeColor="text1"/>
                      <w:sz w:val="24"/>
                      <w:szCs w:val="24"/>
                      <w:lang w:val="zh-CN"/>
                      <w14:textFill>
                        <w14:solidFill>
                          <w14:schemeClr w14:val="tx1"/>
                        </w14:solidFill>
                      </w14:textFill>
                    </w:rPr>
                    <w:t>14554-93）中标准限值</w:t>
                  </w:r>
                  <w:r>
                    <w:rPr>
                      <w:rFonts w:hint="eastAsia"/>
                      <w:color w:val="000000" w:themeColor="text1"/>
                      <w:sz w:val="24"/>
                      <w:szCs w:val="24"/>
                      <w14:textFill>
                        <w14:solidFill>
                          <w14:schemeClr w14:val="tx1"/>
                        </w14:solidFill>
                      </w14:textFill>
                    </w:rPr>
                    <w:t>详见</w:t>
                  </w:r>
                  <w:r>
                    <w:rPr>
                      <w:rFonts w:hint="eastAsia"/>
                      <w:color w:val="000000" w:themeColor="text1"/>
                      <w:sz w:val="24"/>
                      <w:szCs w:val="24"/>
                      <w:lang w:eastAsia="zh-CN"/>
                      <w14:textFill>
                        <w14:solidFill>
                          <w14:schemeClr w14:val="tx1"/>
                        </w14:solidFill>
                      </w14:textFill>
                    </w:rPr>
                    <w:t>下</w:t>
                  </w:r>
                  <w:r>
                    <w:rPr>
                      <w:rFonts w:hint="eastAsia"/>
                      <w:color w:val="000000" w:themeColor="text1"/>
                      <w:sz w:val="24"/>
                      <w:szCs w:val="24"/>
                      <w14:textFill>
                        <w14:solidFill>
                          <w14:schemeClr w14:val="tx1"/>
                        </w14:solidFill>
                      </w14:textFill>
                    </w:rPr>
                    <w:t>表</w:t>
                  </w:r>
                  <w:r>
                    <w:rPr>
                      <w:rFonts w:hint="eastAsia"/>
                      <w:color w:val="000000" w:themeColor="text1"/>
                      <w:sz w:val="24"/>
                      <w:szCs w:val="24"/>
                      <w:lang w:eastAsia="zh-CN"/>
                      <w14:textFill>
                        <w14:solidFill>
                          <w14:schemeClr w14:val="tx1"/>
                        </w14:solidFill>
                      </w14:textFill>
                    </w:rPr>
                    <w:t>。</w:t>
                  </w:r>
                </w:p>
                <w:p>
                  <w:pPr>
                    <w:pStyle w:val="110"/>
                    <w:numPr>
                      <w:ilvl w:val="0"/>
                      <w:numId w:val="0"/>
                    </w:numPr>
                    <w:snapToGrid w:val="0"/>
                    <w:spacing w:before="0" w:beforeLines="0"/>
                    <w:rPr>
                      <w:rFonts w:hint="default"/>
                      <w:bCs w:val="0"/>
                      <w:color w:val="000000" w:themeColor="text1"/>
                      <w:vertAlign w:val="superscript"/>
                      <w:lang w:val="zh-CN"/>
                      <w14:textFill>
                        <w14:solidFill>
                          <w14:schemeClr w14:val="tx1"/>
                        </w14:solidFill>
                      </w14:textFill>
                    </w:rPr>
                  </w:pPr>
                  <w:r>
                    <w:rPr>
                      <w:rFonts w:hint="default"/>
                      <w:bCs w:val="0"/>
                      <w:color w:val="000000" w:themeColor="text1"/>
                      <w14:textFill>
                        <w14:solidFill>
                          <w14:schemeClr w14:val="tx1"/>
                        </w14:solidFill>
                      </w14:textFill>
                    </w:rPr>
                    <w:t xml:space="preserve">表1-2大气污染物排放标准   </w:t>
                  </w:r>
                  <w:r>
                    <w:rPr>
                      <w:rFonts w:hint="default"/>
                      <w:bCs w:val="0"/>
                      <w:color w:val="000000" w:themeColor="text1"/>
                      <w:lang w:val="zh-CN"/>
                      <w14:textFill>
                        <w14:solidFill>
                          <w14:schemeClr w14:val="tx1"/>
                        </w14:solidFill>
                      </w14:textFill>
                    </w:rPr>
                    <w:t>单位：mg/m</w:t>
                  </w:r>
                  <w:r>
                    <w:rPr>
                      <w:rFonts w:hint="default"/>
                      <w:bCs w:val="0"/>
                      <w:color w:val="000000" w:themeColor="text1"/>
                      <w:vertAlign w:val="superscript"/>
                      <w:lang w:val="zh-CN"/>
                      <w14:textFill>
                        <w14:solidFill>
                          <w14:schemeClr w14:val="tx1"/>
                        </w14:solidFill>
                      </w14:textFill>
                    </w:rPr>
                    <w:t>3</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813"/>
                    <w:gridCol w:w="1763"/>
                    <w:gridCol w:w="1468"/>
                    <w:gridCol w:w="1468"/>
                    <w:gridCol w:w="1468"/>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136" w:type="pct"/>
                        <w:noWrap w:val="0"/>
                        <w:vAlign w:val="center"/>
                      </w:tcPr>
                      <w:p>
                        <w:pPr>
                          <w:pStyle w:val="123"/>
                          <w:keepNext w:val="0"/>
                          <w:keepLines w:val="0"/>
                          <w:pageBreakBefore w:val="0"/>
                          <w:widowControl w:val="0"/>
                          <w:kinsoku/>
                          <w:wordWrap/>
                          <w:overflowPunct/>
                          <w:topLinePunct w:val="0"/>
                          <w:bidi w:val="0"/>
                          <w:spacing w:line="240" w:lineRule="auto"/>
                          <w:textAlignment w:val="auto"/>
                          <w:rPr>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污染物项目</w:t>
                        </w:r>
                      </w:p>
                    </w:tc>
                    <w:tc>
                      <w:tcPr>
                        <w:tcW w:w="1104" w:type="pct"/>
                        <w:noWrap w:val="0"/>
                        <w:vAlign w:val="center"/>
                      </w:tcPr>
                      <w:p>
                        <w:pPr>
                          <w:pStyle w:val="123"/>
                          <w:keepNext w:val="0"/>
                          <w:keepLines w:val="0"/>
                          <w:pageBreakBefore w:val="0"/>
                          <w:widowControl w:val="0"/>
                          <w:kinsoku/>
                          <w:wordWrap/>
                          <w:overflowPunct/>
                          <w:topLinePunct w:val="0"/>
                          <w:bidi w:val="0"/>
                          <w:spacing w:line="240" w:lineRule="auto"/>
                          <w:textAlignment w:val="auto"/>
                          <w:rPr>
                            <w:rFonts w:hint="eastAsia" w:eastAsia="宋体"/>
                            <w:color w:val="000000" w:themeColor="text1"/>
                            <w:sz w:val="21"/>
                            <w:szCs w:val="21"/>
                            <w:lang w:eastAsia="zh-CN"/>
                            <w14:textFill>
                              <w14:solidFill>
                                <w14:schemeClr w14:val="tx1"/>
                              </w14:solidFill>
                            </w14:textFill>
                          </w:rPr>
                        </w:pPr>
                        <w:r>
                          <w:rPr>
                            <w:rFonts w:hint="eastAsia" w:hAnsi="宋体"/>
                            <w:color w:val="000000" w:themeColor="text1"/>
                            <w:sz w:val="21"/>
                            <w:szCs w:val="21"/>
                            <w:lang w:eastAsia="zh-CN"/>
                            <w14:textFill>
                              <w14:solidFill>
                                <w14:schemeClr w14:val="tx1"/>
                              </w14:solidFill>
                            </w14:textFill>
                          </w:rPr>
                          <w:t>浓度</w:t>
                        </w:r>
                      </w:p>
                    </w:tc>
                    <w:tc>
                      <w:tcPr>
                        <w:tcW w:w="919" w:type="pct"/>
                        <w:noWrap w:val="0"/>
                        <w:vAlign w:val="center"/>
                      </w:tcPr>
                      <w:p>
                        <w:pPr>
                          <w:pStyle w:val="123"/>
                          <w:keepNext w:val="0"/>
                          <w:keepLines w:val="0"/>
                          <w:pageBreakBefore w:val="0"/>
                          <w:widowControl w:val="0"/>
                          <w:kinsoku/>
                          <w:wordWrap/>
                          <w:overflowPunct/>
                          <w:topLinePunct w:val="0"/>
                          <w:bidi w:val="0"/>
                          <w:spacing w:line="240" w:lineRule="auto"/>
                          <w:ind w:firstLine="0" w:firstLineChars="0"/>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速率（70m）/kg/h</w:t>
                        </w:r>
                      </w:p>
                    </w:tc>
                    <w:tc>
                      <w:tcPr>
                        <w:tcW w:w="919" w:type="pct"/>
                        <w:noWrap w:val="0"/>
                        <w:vAlign w:val="center"/>
                      </w:tcPr>
                      <w:p>
                        <w:pPr>
                          <w:pStyle w:val="123"/>
                          <w:keepNext w:val="0"/>
                          <w:keepLines w:val="0"/>
                          <w:pageBreakBefore w:val="0"/>
                          <w:widowControl w:val="0"/>
                          <w:kinsoku/>
                          <w:wordWrap/>
                          <w:overflowPunct/>
                          <w:topLinePunct w:val="0"/>
                          <w:bidi w:val="0"/>
                          <w:spacing w:line="240" w:lineRule="auto"/>
                          <w:ind w:firstLine="0" w:firstLineChars="0"/>
                          <w:textAlignment w:val="auto"/>
                          <w:rPr>
                            <w:rFonts w:hAnsi="宋体"/>
                            <w:color w:val="000000" w:themeColor="text1"/>
                            <w:sz w:val="21"/>
                            <w:szCs w:val="21"/>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无组织排放监控杆浓度限值</w:t>
                        </w:r>
                      </w:p>
                    </w:tc>
                    <w:tc>
                      <w:tcPr>
                        <w:tcW w:w="919" w:type="pct"/>
                        <w:noWrap w:val="0"/>
                        <w:vAlign w:val="center"/>
                      </w:tcPr>
                      <w:p>
                        <w:pPr>
                          <w:pStyle w:val="123"/>
                          <w:keepNext w:val="0"/>
                          <w:keepLines w:val="0"/>
                          <w:pageBreakBefore w:val="0"/>
                          <w:widowControl w:val="0"/>
                          <w:kinsoku/>
                          <w:wordWrap/>
                          <w:overflowPunct/>
                          <w:topLinePunct w:val="0"/>
                          <w:bidi w:val="0"/>
                          <w:adjustRightInd/>
                          <w:snapToGrid/>
                          <w:ind w:firstLine="0" w:firstLineChars="0"/>
                          <w:textAlignment w:val="auto"/>
                          <w:rPr>
                            <w:rFonts w:hint="eastAsia" w:hAnsi="宋体" w:eastAsia="宋体"/>
                            <w:color w:val="000000" w:themeColor="text1"/>
                            <w:lang w:eastAsia="zh-CN"/>
                            <w14:textFill>
                              <w14:solidFill>
                                <w14:schemeClr w14:val="tx1"/>
                              </w14:solidFill>
                            </w14:textFill>
                          </w:rPr>
                        </w:pPr>
                        <w:r>
                          <w:rPr>
                            <w:rFonts w:hint="eastAsia" w:hAnsi="宋体"/>
                            <w:color w:val="000000" w:themeColor="text1"/>
                            <w:lang w:eastAsia="zh-CN"/>
                            <w14:textFill>
                              <w14:solidFill>
                                <w14:schemeClr w14:val="tx1"/>
                              </w14:solidFill>
                            </w14:textFill>
                          </w:rPr>
                          <w:t>排放标准</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2" w:hRule="atLeast"/>
                    </w:trPr>
                    <w:tc>
                      <w:tcPr>
                        <w:tcW w:w="1136" w:type="pct"/>
                        <w:noWrap w:val="0"/>
                        <w:vAlign w:val="center"/>
                      </w:tcPr>
                      <w:p>
                        <w:pPr>
                          <w:pStyle w:val="123"/>
                          <w:keepNext w:val="0"/>
                          <w:keepLines w:val="0"/>
                          <w:pageBreakBefore w:val="0"/>
                          <w:widowControl w:val="0"/>
                          <w:kinsoku/>
                          <w:wordWrap/>
                          <w:overflowPunct/>
                          <w:topLinePunct w:val="0"/>
                          <w:bidi w:val="0"/>
                          <w:spacing w:line="240" w:lineRule="auto"/>
                          <w:textAlignment w:val="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非甲烷总烃</w:t>
                        </w:r>
                      </w:p>
                    </w:tc>
                    <w:tc>
                      <w:tcPr>
                        <w:tcW w:w="1104"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eastAsia="宋体"/>
                            <w:color w:val="000000" w:themeColor="text1"/>
                            <w:sz w:val="21"/>
                            <w:szCs w:val="21"/>
                            <w:lang w:val="en-US" w:eastAsia="zh-CN"/>
                            <w14:textFill>
                              <w14:solidFill>
                                <w14:schemeClr w14:val="tx1"/>
                              </w14:solidFill>
                            </w14:textFill>
                          </w:rPr>
                        </w:pPr>
                        <w:r>
                          <w:rPr>
                            <w:color w:val="000000" w:themeColor="text1"/>
                            <w:sz w:val="21"/>
                            <w:szCs w:val="21"/>
                            <w:highlight w:val="none"/>
                            <w:lang w:val="zh-CN"/>
                            <w14:textFill>
                              <w14:solidFill>
                                <w14:schemeClr w14:val="tx1"/>
                              </w14:solidFill>
                            </w14:textFill>
                          </w:rPr>
                          <w:t>120</w:t>
                        </w:r>
                      </w:p>
                    </w:tc>
                    <w:tc>
                      <w:tcPr>
                        <w:tcW w:w="919"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t>100</w:t>
                        </w:r>
                      </w:p>
                    </w:tc>
                    <w:tc>
                      <w:tcPr>
                        <w:tcW w:w="919"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4.0</w:t>
                        </w:r>
                      </w:p>
                    </w:tc>
                    <w:tc>
                      <w:tcPr>
                        <w:tcW w:w="919" w:type="pct"/>
                        <w:vMerge w:val="restart"/>
                        <w:noWrap w:val="0"/>
                        <w:vAlign w:val="center"/>
                      </w:tcPr>
                      <w:p>
                        <w:pPr>
                          <w:pStyle w:val="123"/>
                          <w:keepNext w:val="0"/>
                          <w:keepLines w:val="0"/>
                          <w:pageBreakBefore w:val="0"/>
                          <w:widowControl w:val="0"/>
                          <w:kinsoku/>
                          <w:wordWrap/>
                          <w:overflowPunct/>
                          <w:topLinePunct w:val="0"/>
                          <w:bidi w:val="0"/>
                          <w:adjustRightInd/>
                          <w:snapToGrid/>
                          <w:ind w:firstLine="0" w:firstLineChars="0"/>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《大气污染物综合排放标准》（GB16297-1996）</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2" w:hRule="atLeast"/>
                    </w:trPr>
                    <w:tc>
                      <w:tcPr>
                        <w:tcW w:w="1136"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olor w:val="000000" w:themeColor="text1"/>
                            <w:sz w:val="21"/>
                            <w:szCs w:val="21"/>
                            <w:lang w:eastAsia="zh-CN"/>
                            <w14:textFill>
                              <w14:solidFill>
                                <w14:schemeClr w14:val="tx1"/>
                              </w14:solidFill>
                            </w14:textFill>
                          </w:rPr>
                        </w:pPr>
                        <w:r>
                          <w:rPr>
                            <w:color w:val="000000" w:themeColor="text1"/>
                            <w:sz w:val="21"/>
                            <w:szCs w:val="21"/>
                            <w:highlight w:val="none"/>
                            <w14:textFill>
                              <w14:solidFill>
                                <w14:schemeClr w14:val="tx1"/>
                              </w14:solidFill>
                            </w14:textFill>
                          </w:rPr>
                          <w:t>苯</w:t>
                        </w:r>
                      </w:p>
                    </w:tc>
                    <w:tc>
                      <w:tcPr>
                        <w:tcW w:w="1104"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olor w:val="000000" w:themeColor="text1"/>
                            <w:sz w:val="21"/>
                            <w:szCs w:val="21"/>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12</w:t>
                        </w:r>
                      </w:p>
                    </w:tc>
                    <w:tc>
                      <w:tcPr>
                        <w:tcW w:w="919"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olor w:val="000000" w:themeColor="text1"/>
                            <w:sz w:val="21"/>
                            <w:szCs w:val="21"/>
                            <w:lang w:eastAsia="zh-CN"/>
                            <w14:textFill>
                              <w14:solidFill>
                                <w14:schemeClr w14:val="tx1"/>
                              </w14:solidFill>
                            </w14:textFill>
                          </w:rPr>
                        </w:pPr>
                        <w:r>
                          <w:rPr>
                            <w:color w:val="000000" w:themeColor="text1"/>
                            <w:sz w:val="21"/>
                            <w:szCs w:val="21"/>
                            <w:highlight w:val="none"/>
                            <w14:textFill>
                              <w14:solidFill>
                                <w14:schemeClr w14:val="tx1"/>
                              </w14:solidFill>
                            </w14:textFill>
                          </w:rPr>
                          <w:t>5.6</w:t>
                        </w:r>
                      </w:p>
                    </w:tc>
                    <w:tc>
                      <w:tcPr>
                        <w:tcW w:w="919"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0.4</w:t>
                        </w:r>
                      </w:p>
                    </w:tc>
                    <w:tc>
                      <w:tcPr>
                        <w:tcW w:w="919" w:type="pct"/>
                        <w:vMerge w:val="continue"/>
                        <w:noWrap w:val="0"/>
                        <w:vAlign w:val="center"/>
                      </w:tcPr>
                      <w:p>
                        <w:pPr>
                          <w:pStyle w:val="123"/>
                          <w:ind w:firstLine="0" w:firstLineChars="0"/>
                          <w:rPr>
                            <w:rFonts w:hint="eastAsia"/>
                            <w:color w:val="000000" w:themeColor="text1"/>
                            <w:lang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2" w:hRule="atLeast"/>
                    </w:trPr>
                    <w:tc>
                      <w:tcPr>
                        <w:tcW w:w="1136"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olor w:val="000000" w:themeColor="text1"/>
                            <w:sz w:val="21"/>
                            <w:szCs w:val="21"/>
                            <w:lang w:eastAsia="zh-CN"/>
                            <w14:textFill>
                              <w14:solidFill>
                                <w14:schemeClr w14:val="tx1"/>
                              </w14:solidFill>
                            </w14:textFill>
                          </w:rPr>
                        </w:pPr>
                        <w:r>
                          <w:rPr>
                            <w:color w:val="000000" w:themeColor="text1"/>
                            <w:sz w:val="21"/>
                            <w:szCs w:val="21"/>
                            <w:highlight w:val="none"/>
                            <w14:textFill>
                              <w14:solidFill>
                                <w14:schemeClr w14:val="tx1"/>
                              </w14:solidFill>
                            </w14:textFill>
                          </w:rPr>
                          <w:t>甲醇</w:t>
                        </w:r>
                      </w:p>
                    </w:tc>
                    <w:tc>
                      <w:tcPr>
                        <w:tcW w:w="1104"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olor w:val="000000" w:themeColor="text1"/>
                            <w:sz w:val="21"/>
                            <w:szCs w:val="21"/>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190</w:t>
                        </w:r>
                      </w:p>
                    </w:tc>
                    <w:tc>
                      <w:tcPr>
                        <w:tcW w:w="919"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olor w:val="000000" w:themeColor="text1"/>
                            <w:sz w:val="21"/>
                            <w:szCs w:val="21"/>
                            <w:lang w:eastAsia="zh-CN"/>
                            <w14:textFill>
                              <w14:solidFill>
                                <w14:schemeClr w14:val="tx1"/>
                              </w14:solidFill>
                            </w14:textFill>
                          </w:rPr>
                        </w:pPr>
                        <w:r>
                          <w:rPr>
                            <w:color w:val="000000" w:themeColor="text1"/>
                            <w:sz w:val="21"/>
                            <w:szCs w:val="21"/>
                            <w:highlight w:val="none"/>
                            <w14:textFill>
                              <w14:solidFill>
                                <w14:schemeClr w14:val="tx1"/>
                              </w14:solidFill>
                            </w14:textFill>
                          </w:rPr>
                          <w:t>100</w:t>
                        </w:r>
                      </w:p>
                    </w:tc>
                    <w:tc>
                      <w:tcPr>
                        <w:tcW w:w="919"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12</w:t>
                        </w:r>
                      </w:p>
                    </w:tc>
                    <w:tc>
                      <w:tcPr>
                        <w:tcW w:w="919" w:type="pct"/>
                        <w:vMerge w:val="continue"/>
                        <w:noWrap w:val="0"/>
                        <w:vAlign w:val="center"/>
                      </w:tcPr>
                      <w:p>
                        <w:pPr>
                          <w:pStyle w:val="123"/>
                          <w:ind w:firstLine="0" w:firstLineChars="0"/>
                          <w:rPr>
                            <w:rFonts w:hint="eastAsia"/>
                            <w:color w:val="000000" w:themeColor="text1"/>
                            <w:lang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2" w:hRule="atLeast"/>
                    </w:trPr>
                    <w:tc>
                      <w:tcPr>
                        <w:tcW w:w="1136"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olor w:val="000000" w:themeColor="text1"/>
                            <w:sz w:val="21"/>
                            <w:szCs w:val="21"/>
                            <w:lang w:eastAsia="zh-CN"/>
                            <w14:textFill>
                              <w14:solidFill>
                                <w14:schemeClr w14:val="tx1"/>
                              </w14:solidFill>
                            </w14:textFill>
                          </w:rPr>
                        </w:pPr>
                        <w:r>
                          <w:rPr>
                            <w:color w:val="000000" w:themeColor="text1"/>
                            <w:sz w:val="21"/>
                            <w:szCs w:val="21"/>
                            <w:highlight w:val="none"/>
                            <w14:textFill>
                              <w14:solidFill>
                                <w14:schemeClr w14:val="tx1"/>
                              </w14:solidFill>
                            </w14:textFill>
                          </w:rPr>
                          <w:t>硫酸雾</w:t>
                        </w:r>
                      </w:p>
                    </w:tc>
                    <w:tc>
                      <w:tcPr>
                        <w:tcW w:w="1104"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olor w:val="000000" w:themeColor="text1"/>
                            <w:sz w:val="21"/>
                            <w:szCs w:val="21"/>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45</w:t>
                        </w:r>
                      </w:p>
                    </w:tc>
                    <w:tc>
                      <w:tcPr>
                        <w:tcW w:w="919"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46</w:t>
                        </w:r>
                      </w:p>
                    </w:tc>
                    <w:tc>
                      <w:tcPr>
                        <w:tcW w:w="919"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1.2</w:t>
                        </w:r>
                      </w:p>
                    </w:tc>
                    <w:tc>
                      <w:tcPr>
                        <w:tcW w:w="919" w:type="pct"/>
                        <w:vMerge w:val="continue"/>
                        <w:noWrap w:val="0"/>
                        <w:vAlign w:val="center"/>
                      </w:tcPr>
                      <w:p>
                        <w:pPr>
                          <w:pStyle w:val="123"/>
                          <w:ind w:firstLine="0" w:firstLineChars="0"/>
                          <w:rPr>
                            <w:rFonts w:hint="eastAsia"/>
                            <w:color w:val="000000" w:themeColor="text1"/>
                            <w:lang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2" w:hRule="atLeast"/>
                    </w:trPr>
                    <w:tc>
                      <w:tcPr>
                        <w:tcW w:w="1136"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olor w:val="000000" w:themeColor="text1"/>
                            <w:sz w:val="21"/>
                            <w:szCs w:val="21"/>
                            <w:lang w:eastAsia="zh-CN"/>
                            <w14:textFill>
                              <w14:solidFill>
                                <w14:schemeClr w14:val="tx1"/>
                              </w14:solidFill>
                            </w14:textFill>
                          </w:rPr>
                        </w:pPr>
                        <w:r>
                          <w:rPr>
                            <w:color w:val="000000" w:themeColor="text1"/>
                            <w:sz w:val="21"/>
                            <w:szCs w:val="21"/>
                            <w:highlight w:val="none"/>
                            <w14:textFill>
                              <w14:solidFill>
                                <w14:schemeClr w14:val="tx1"/>
                              </w14:solidFill>
                            </w14:textFill>
                          </w:rPr>
                          <w:t>NOx</w:t>
                        </w:r>
                      </w:p>
                    </w:tc>
                    <w:tc>
                      <w:tcPr>
                        <w:tcW w:w="1104"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olor w:val="000000" w:themeColor="text1"/>
                            <w:sz w:val="21"/>
                            <w:szCs w:val="21"/>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240</w:t>
                        </w:r>
                      </w:p>
                    </w:tc>
                    <w:tc>
                      <w:tcPr>
                        <w:tcW w:w="919"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23</w:t>
                        </w:r>
                      </w:p>
                    </w:tc>
                    <w:tc>
                      <w:tcPr>
                        <w:tcW w:w="919"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0.12</w:t>
                        </w:r>
                      </w:p>
                    </w:tc>
                    <w:tc>
                      <w:tcPr>
                        <w:tcW w:w="919" w:type="pct"/>
                        <w:vMerge w:val="continue"/>
                        <w:noWrap w:val="0"/>
                        <w:vAlign w:val="center"/>
                      </w:tcPr>
                      <w:p>
                        <w:pPr>
                          <w:pStyle w:val="123"/>
                          <w:ind w:firstLine="0" w:firstLineChars="0"/>
                          <w:rPr>
                            <w:rFonts w:hint="eastAsia"/>
                            <w:color w:val="000000" w:themeColor="text1"/>
                            <w:lang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2" w:hRule="atLeast"/>
                    </w:trPr>
                    <w:tc>
                      <w:tcPr>
                        <w:tcW w:w="1136"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olor w:val="000000" w:themeColor="text1"/>
                            <w:sz w:val="21"/>
                            <w:szCs w:val="21"/>
                            <w:lang w:eastAsia="zh-CN"/>
                            <w14:textFill>
                              <w14:solidFill>
                                <w14:schemeClr w14:val="tx1"/>
                              </w14:solidFill>
                            </w14:textFill>
                          </w:rPr>
                        </w:pPr>
                        <w:r>
                          <w:rPr>
                            <w:color w:val="000000" w:themeColor="text1"/>
                            <w:sz w:val="21"/>
                            <w:szCs w:val="21"/>
                            <w:highlight w:val="none"/>
                            <w14:textFill>
                              <w14:solidFill>
                                <w14:schemeClr w14:val="tx1"/>
                              </w14:solidFill>
                            </w14:textFill>
                          </w:rPr>
                          <w:t>HCl</w:t>
                        </w:r>
                      </w:p>
                    </w:tc>
                    <w:tc>
                      <w:tcPr>
                        <w:tcW w:w="1104"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olor w:val="000000" w:themeColor="text1"/>
                            <w:sz w:val="21"/>
                            <w:szCs w:val="21"/>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100</w:t>
                        </w:r>
                      </w:p>
                    </w:tc>
                    <w:tc>
                      <w:tcPr>
                        <w:tcW w:w="919"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7.7</w:t>
                        </w:r>
                      </w:p>
                    </w:tc>
                    <w:tc>
                      <w:tcPr>
                        <w:tcW w:w="919"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w:t>
                        </w:r>
                      </w:p>
                    </w:tc>
                    <w:tc>
                      <w:tcPr>
                        <w:tcW w:w="919" w:type="pct"/>
                        <w:vMerge w:val="continue"/>
                        <w:noWrap w:val="0"/>
                        <w:vAlign w:val="center"/>
                      </w:tcPr>
                      <w:p>
                        <w:pPr>
                          <w:pStyle w:val="123"/>
                          <w:ind w:firstLine="0" w:firstLineChars="0"/>
                          <w:rPr>
                            <w:rFonts w:hint="eastAsia"/>
                            <w:color w:val="000000" w:themeColor="text1"/>
                            <w:lang w:eastAsia="zh-CN"/>
                            <w14:textFill>
                              <w14:solidFill>
                                <w14:schemeClr w14:val="tx1"/>
                              </w14:solidFill>
                            </w14:textFill>
                          </w:rPr>
                        </w:pPr>
                      </w:p>
                    </w:tc>
                  </w:tr>
                </w:tbl>
                <w:p>
                  <w:pPr>
                    <w:pStyle w:val="110"/>
                    <w:numPr>
                      <w:ilvl w:val="0"/>
                      <w:numId w:val="0"/>
                    </w:numPr>
                    <w:snapToGrid w:val="0"/>
                    <w:spacing w:before="0" w:beforeLines="0"/>
                    <w:rPr>
                      <w:rFonts w:hint="default"/>
                      <w:bCs w:val="0"/>
                      <w:color w:val="000000" w:themeColor="text1"/>
                      <w14:textFill>
                        <w14:solidFill>
                          <w14:schemeClr w14:val="tx1"/>
                        </w14:solidFill>
                      </w14:textFill>
                    </w:rPr>
                  </w:pPr>
                </w:p>
                <w:p>
                  <w:pPr>
                    <w:pStyle w:val="110"/>
                    <w:numPr>
                      <w:ilvl w:val="0"/>
                      <w:numId w:val="0"/>
                    </w:numPr>
                    <w:snapToGrid w:val="0"/>
                    <w:spacing w:before="0" w:beforeLines="0"/>
                    <w:rPr>
                      <w:rFonts w:hint="default"/>
                      <w:bCs w:val="0"/>
                      <w:color w:val="000000" w:themeColor="text1"/>
                      <w:vertAlign w:val="superscript"/>
                      <w:lang w:val="zh-CN"/>
                      <w14:textFill>
                        <w14:solidFill>
                          <w14:schemeClr w14:val="tx1"/>
                        </w14:solidFill>
                      </w14:textFill>
                    </w:rPr>
                  </w:pPr>
                  <w:r>
                    <w:rPr>
                      <w:rFonts w:hint="default"/>
                      <w:bCs w:val="0"/>
                      <w:color w:val="000000" w:themeColor="text1"/>
                      <w14:textFill>
                        <w14:solidFill>
                          <w14:schemeClr w14:val="tx1"/>
                        </w14:solidFill>
                      </w14:textFill>
                    </w:rPr>
                    <w:t>表1-</w:t>
                  </w:r>
                  <w:r>
                    <w:rPr>
                      <w:rFonts w:hint="eastAsia"/>
                      <w:bCs w:val="0"/>
                      <w:color w:val="000000" w:themeColor="text1"/>
                      <w:lang w:val="en-US" w:eastAsia="zh-CN"/>
                      <w14:textFill>
                        <w14:solidFill>
                          <w14:schemeClr w14:val="tx1"/>
                        </w14:solidFill>
                      </w14:textFill>
                    </w:rPr>
                    <w:t>3</w:t>
                  </w:r>
                  <w:r>
                    <w:rPr>
                      <w:rFonts w:hint="default"/>
                      <w:bCs w:val="0"/>
                      <w:color w:val="000000" w:themeColor="text1"/>
                      <w14:textFill>
                        <w14:solidFill>
                          <w14:schemeClr w14:val="tx1"/>
                        </w14:solidFill>
                      </w14:textFill>
                    </w:rPr>
                    <w:t xml:space="preserve">挥发性有机物无组织排放标准   </w:t>
                  </w:r>
                  <w:r>
                    <w:rPr>
                      <w:rFonts w:hint="default"/>
                      <w:bCs w:val="0"/>
                      <w:color w:val="000000" w:themeColor="text1"/>
                      <w:lang w:val="zh-CN"/>
                      <w14:textFill>
                        <w14:solidFill>
                          <w14:schemeClr w14:val="tx1"/>
                        </w14:solidFill>
                      </w14:textFill>
                    </w:rPr>
                    <w:t>单位：mg/m</w:t>
                  </w:r>
                  <w:r>
                    <w:rPr>
                      <w:rFonts w:hint="default"/>
                      <w:bCs w:val="0"/>
                      <w:color w:val="000000" w:themeColor="text1"/>
                      <w:vertAlign w:val="superscript"/>
                      <w:lang w:val="zh-CN"/>
                      <w14:textFill>
                        <w14:solidFill>
                          <w14:schemeClr w14:val="tx1"/>
                        </w14:solidFill>
                      </w14:textFill>
                    </w:rPr>
                    <w:t>3</w:t>
                  </w:r>
                </w:p>
                <w:tbl>
                  <w:tblPr>
                    <w:tblStyle w:val="29"/>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8" w:space="0"/>
                    </w:tblBorders>
                    <w:tblLayout w:type="fixed"/>
                    <w:tblCellMar>
                      <w:top w:w="0" w:type="dxa"/>
                      <w:left w:w="108" w:type="dxa"/>
                      <w:bottom w:w="0" w:type="dxa"/>
                      <w:right w:w="108" w:type="dxa"/>
                    </w:tblCellMar>
                  </w:tblPr>
                  <w:tblGrid>
                    <w:gridCol w:w="1433"/>
                    <w:gridCol w:w="3106"/>
                    <w:gridCol w:w="3435"/>
                  </w:tblGrid>
                  <w:tr>
                    <w:tblPrEx>
                      <w:tblBorders>
                        <w:top w:val="single" w:color="auto" w:sz="12" w:space="0"/>
                        <w:left w:val="none" w:color="auto" w:sz="0" w:space="0"/>
                        <w:bottom w:val="single" w:color="auto" w:sz="12" w:space="0"/>
                        <w:right w:val="none" w:color="auto" w:sz="0" w:space="0"/>
                        <w:insideH w:val="single" w:color="auto" w:sz="6" w:space="0"/>
                        <w:insideV w:val="single" w:color="auto" w:sz="8" w:space="0"/>
                      </w:tblBorders>
                      <w:tblCellMar>
                        <w:top w:w="0" w:type="dxa"/>
                        <w:left w:w="108" w:type="dxa"/>
                        <w:bottom w:w="0" w:type="dxa"/>
                        <w:right w:w="108" w:type="dxa"/>
                      </w:tblCellMar>
                    </w:tblPrEx>
                    <w:trPr>
                      <w:trHeight w:val="340" w:hRule="atLeast"/>
                      <w:jc w:val="center"/>
                    </w:trPr>
                    <w:tc>
                      <w:tcPr>
                        <w:tcW w:w="1433" w:type="dxa"/>
                        <w:noWrap w:val="0"/>
                        <w:vAlign w:val="center"/>
                      </w:tcPr>
                      <w:p>
                        <w:pPr>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污染物项目</w:t>
                        </w:r>
                      </w:p>
                    </w:tc>
                    <w:tc>
                      <w:tcPr>
                        <w:tcW w:w="3106" w:type="dxa"/>
                        <w:noWrap w:val="0"/>
                        <w:vAlign w:val="center"/>
                      </w:tcPr>
                      <w:p>
                        <w:pPr>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排放限值</w:t>
                        </w:r>
                      </w:p>
                    </w:tc>
                    <w:tc>
                      <w:tcPr>
                        <w:tcW w:w="3435" w:type="dxa"/>
                        <w:noWrap w:val="0"/>
                        <w:vAlign w:val="center"/>
                      </w:tcPr>
                      <w:p>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排放标准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8" w:space="0"/>
                      </w:tblBorders>
                      <w:tblCellMar>
                        <w:top w:w="0" w:type="dxa"/>
                        <w:left w:w="108" w:type="dxa"/>
                        <w:bottom w:w="0" w:type="dxa"/>
                        <w:right w:w="108" w:type="dxa"/>
                      </w:tblCellMar>
                    </w:tblPrEx>
                    <w:trPr>
                      <w:trHeight w:val="340" w:hRule="atLeast"/>
                      <w:jc w:val="center"/>
                    </w:trPr>
                    <w:tc>
                      <w:tcPr>
                        <w:tcW w:w="1433" w:type="dxa"/>
                        <w:noWrap w:val="0"/>
                        <w:vAlign w:val="center"/>
                      </w:tcPr>
                      <w:p>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NMHC</w:t>
                        </w:r>
                      </w:p>
                    </w:tc>
                    <w:tc>
                      <w:tcPr>
                        <w:tcW w:w="3106" w:type="dxa"/>
                        <w:noWrap w:val="0"/>
                        <w:vAlign w:val="center"/>
                      </w:tcPr>
                      <w:p>
                        <w:pPr>
                          <w:pStyle w:val="129"/>
                          <w:keepNext w:val="0"/>
                          <w:keepLines w:val="0"/>
                          <w:pageBreakBefore w:val="0"/>
                          <w:widowControl w:val="0"/>
                          <w:kinsoku/>
                          <w:wordWrap/>
                          <w:overflowPunct/>
                          <w:topLinePunct w:val="0"/>
                          <w:bidi w:val="0"/>
                          <w:adjustRightInd w:val="0"/>
                          <w:snapToGrid w:val="0"/>
                          <w:spacing w:line="0" w:lineRule="atLeast"/>
                          <w:ind w:firstLine="0" w:firstLineChars="0"/>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监控点处1h平均浓度值：10mg/m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p>
                        <w:pPr>
                          <w:pStyle w:val="129"/>
                          <w:keepNext w:val="0"/>
                          <w:keepLines w:val="0"/>
                          <w:pageBreakBefore w:val="0"/>
                          <w:widowControl w:val="0"/>
                          <w:kinsoku/>
                          <w:wordWrap/>
                          <w:overflowPunct/>
                          <w:topLinePunct w:val="0"/>
                          <w:bidi w:val="0"/>
                          <w:adjustRightInd w:val="0"/>
                          <w:snapToGrid w:val="0"/>
                          <w:spacing w:line="0" w:lineRule="atLeast"/>
                          <w:ind w:firstLine="0" w:firstLineChars="0"/>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监控点处任意一次浓度值：30mg/m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3435" w:type="dxa"/>
                        <w:noWrap w:val="0"/>
                        <w:vAlign w:val="center"/>
                      </w:tcPr>
                      <w:p>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《挥发性有机物无组织排放控制标准》（GB37822-2019）</w:t>
                        </w:r>
                      </w:p>
                    </w:tc>
                  </w:tr>
                </w:tbl>
                <w:p>
                  <w:pPr>
                    <w:pStyle w:val="110"/>
                    <w:numPr>
                      <w:ilvl w:val="0"/>
                      <w:numId w:val="0"/>
                    </w:numPr>
                    <w:snapToGrid w:val="0"/>
                    <w:spacing w:before="0" w:beforeLines="0"/>
                    <w:rPr>
                      <w:rFonts w:hint="default"/>
                      <w:bCs w:val="0"/>
                      <w:color w:val="000000" w:themeColor="text1"/>
                      <w:vertAlign w:val="superscript"/>
                      <w:lang w:val="zh-CN"/>
                      <w14:textFill>
                        <w14:solidFill>
                          <w14:schemeClr w14:val="tx1"/>
                        </w14:solidFill>
                      </w14:textFill>
                    </w:rPr>
                  </w:pPr>
                  <w:r>
                    <w:rPr>
                      <w:rFonts w:hint="default"/>
                      <w:bCs w:val="0"/>
                      <w:color w:val="000000" w:themeColor="text1"/>
                      <w14:textFill>
                        <w14:solidFill>
                          <w14:schemeClr w14:val="tx1"/>
                        </w14:solidFill>
                      </w14:textFill>
                    </w:rPr>
                    <w:t>表1-</w:t>
                  </w:r>
                  <w:r>
                    <w:rPr>
                      <w:rFonts w:hint="eastAsia"/>
                      <w:bCs w:val="0"/>
                      <w:color w:val="000000" w:themeColor="text1"/>
                      <w:lang w:val="en-US" w:eastAsia="zh-CN"/>
                      <w14:textFill>
                        <w14:solidFill>
                          <w14:schemeClr w14:val="tx1"/>
                        </w14:solidFill>
                      </w14:textFill>
                    </w:rPr>
                    <w:t>4</w:t>
                  </w:r>
                  <w:r>
                    <w:rPr>
                      <w:rFonts w:hint="default"/>
                      <w:bCs w:val="0"/>
                      <w:color w:val="000000" w:themeColor="text1"/>
                      <w14:textFill>
                        <w14:solidFill>
                          <w14:schemeClr w14:val="tx1"/>
                        </w14:solidFill>
                      </w14:textFill>
                    </w:rPr>
                    <w:t xml:space="preserve"> </w:t>
                  </w:r>
                  <w:r>
                    <w:rPr>
                      <w:rFonts w:hint="eastAsia"/>
                      <w:bCs w:val="0"/>
                      <w:color w:val="000000" w:themeColor="text1"/>
                      <w:lang w:eastAsia="zh-CN"/>
                      <w14:textFill>
                        <w14:solidFill>
                          <w14:schemeClr w14:val="tx1"/>
                        </w14:solidFill>
                      </w14:textFill>
                    </w:rPr>
                    <w:t>恶臭污染物</w:t>
                  </w:r>
                  <w:r>
                    <w:rPr>
                      <w:rFonts w:hint="default"/>
                      <w:bCs w:val="0"/>
                      <w:color w:val="000000" w:themeColor="text1"/>
                      <w14:textFill>
                        <w14:solidFill>
                          <w14:schemeClr w14:val="tx1"/>
                        </w14:solidFill>
                      </w14:textFill>
                    </w:rPr>
                    <w:t xml:space="preserve">排放浓度限值    </w:t>
                  </w:r>
                  <w:r>
                    <w:rPr>
                      <w:rFonts w:hint="default"/>
                      <w:bCs w:val="0"/>
                      <w:color w:val="000000" w:themeColor="text1"/>
                      <w:lang w:val="zh-CN"/>
                      <w14:textFill>
                        <w14:solidFill>
                          <w14:schemeClr w14:val="tx1"/>
                        </w14:solidFill>
                      </w14:textFill>
                    </w:rPr>
                    <w:t>单位：mg/m</w:t>
                  </w:r>
                  <w:r>
                    <w:rPr>
                      <w:rFonts w:hint="default"/>
                      <w:bCs w:val="0"/>
                      <w:color w:val="000000" w:themeColor="text1"/>
                      <w:vertAlign w:val="superscript"/>
                      <w:lang w:val="zh-CN"/>
                      <w14:textFill>
                        <w14:solidFill>
                          <w14:schemeClr w14:val="tx1"/>
                        </w14:solidFill>
                      </w14:textFill>
                    </w:rPr>
                    <w:t>3</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2223"/>
                    <w:gridCol w:w="2161"/>
                    <w:gridCol w:w="1800"/>
                    <w:gridCol w:w="1799"/>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392" w:type="pct"/>
                        <w:noWrap w:val="0"/>
                        <w:vAlign w:val="center"/>
                      </w:tcPr>
                      <w:p>
                        <w:pPr>
                          <w:pStyle w:val="123"/>
                          <w:rPr>
                            <w:color w:val="000000" w:themeColor="text1"/>
                            <w14:textFill>
                              <w14:solidFill>
                                <w14:schemeClr w14:val="tx1"/>
                              </w14:solidFill>
                            </w14:textFill>
                          </w:rPr>
                        </w:pPr>
                        <w:r>
                          <w:rPr>
                            <w:rFonts w:hAnsi="宋体"/>
                            <w:color w:val="000000" w:themeColor="text1"/>
                            <w14:textFill>
                              <w14:solidFill>
                                <w14:schemeClr w14:val="tx1"/>
                              </w14:solidFill>
                            </w14:textFill>
                          </w:rPr>
                          <w:t>污染物项目</w:t>
                        </w:r>
                      </w:p>
                    </w:tc>
                    <w:tc>
                      <w:tcPr>
                        <w:tcW w:w="1353" w:type="pct"/>
                        <w:noWrap w:val="0"/>
                        <w:vAlign w:val="center"/>
                      </w:tcPr>
                      <w:p>
                        <w:pPr>
                          <w:pStyle w:val="123"/>
                          <w:keepNext w:val="0"/>
                          <w:keepLines w:val="0"/>
                          <w:pageBreakBefore w:val="0"/>
                          <w:widowControl w:val="0"/>
                          <w:kinsoku/>
                          <w:wordWrap/>
                          <w:overflowPunct/>
                          <w:topLinePunct w:val="0"/>
                          <w:bidi w:val="0"/>
                          <w:spacing w:line="240" w:lineRule="auto"/>
                          <w:ind w:firstLine="0" w:firstLineChars="0"/>
                          <w:textAlignment w:val="auto"/>
                          <w:rPr>
                            <w:color w:val="000000" w:themeColor="text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速率（70m）/kg/h</w:t>
                        </w:r>
                      </w:p>
                    </w:tc>
                    <w:tc>
                      <w:tcPr>
                        <w:tcW w:w="1127" w:type="pct"/>
                        <w:noWrap w:val="0"/>
                        <w:vAlign w:val="center"/>
                      </w:tcPr>
                      <w:p>
                        <w:pPr>
                          <w:pStyle w:val="123"/>
                          <w:keepNext w:val="0"/>
                          <w:keepLines w:val="0"/>
                          <w:pageBreakBefore w:val="0"/>
                          <w:widowControl w:val="0"/>
                          <w:kinsoku/>
                          <w:wordWrap/>
                          <w:overflowPunct/>
                          <w:topLinePunct w:val="0"/>
                          <w:bidi w:val="0"/>
                          <w:spacing w:line="240" w:lineRule="auto"/>
                          <w:ind w:firstLine="0" w:firstLineChars="0"/>
                          <w:textAlignment w:val="auto"/>
                          <w:rPr>
                            <w:color w:val="000000" w:themeColor="text1"/>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无组织排放监控杆浓度限值</w:t>
                        </w:r>
                      </w:p>
                    </w:tc>
                    <w:tc>
                      <w:tcPr>
                        <w:tcW w:w="1126" w:type="pct"/>
                        <w:noWrap w:val="0"/>
                        <w:vAlign w:val="center"/>
                      </w:tcPr>
                      <w:p>
                        <w:pPr>
                          <w:pStyle w:val="123"/>
                          <w:ind w:firstLine="0" w:firstLineChars="0"/>
                          <w:rPr>
                            <w:rFonts w:hint="eastAsia" w:hAnsi="宋体" w:eastAsia="宋体"/>
                            <w:color w:val="000000" w:themeColor="text1"/>
                            <w:lang w:eastAsia="zh-CN"/>
                            <w14:textFill>
                              <w14:solidFill>
                                <w14:schemeClr w14:val="tx1"/>
                              </w14:solidFill>
                            </w14:textFill>
                          </w:rPr>
                        </w:pPr>
                        <w:r>
                          <w:rPr>
                            <w:rFonts w:hint="eastAsia" w:hAnsi="宋体"/>
                            <w:color w:val="000000" w:themeColor="text1"/>
                            <w:lang w:eastAsia="zh-CN"/>
                            <w14:textFill>
                              <w14:solidFill>
                                <w14:schemeClr w14:val="tx1"/>
                              </w14:solidFill>
                            </w14:textFill>
                          </w:rPr>
                          <w:t>排放标准</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2" w:hRule="atLeast"/>
                    </w:trPr>
                    <w:tc>
                      <w:tcPr>
                        <w:tcW w:w="1392" w:type="pct"/>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氨</w:t>
                        </w:r>
                      </w:p>
                    </w:tc>
                    <w:tc>
                      <w:tcPr>
                        <w:tcW w:w="1353" w:type="pct"/>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75</w:t>
                        </w:r>
                      </w:p>
                    </w:tc>
                    <w:tc>
                      <w:tcPr>
                        <w:tcW w:w="1127" w:type="pct"/>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1126" w:type="pct"/>
                        <w:vMerge w:val="restart"/>
                        <w:noWrap w:val="0"/>
                        <w:vAlign w:val="center"/>
                      </w:tcPr>
                      <w:p>
                        <w:pPr>
                          <w:pStyle w:val="123"/>
                          <w:ind w:firstLine="0" w:firstLineChars="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《恶臭污染物排放标准》（GB14554-93）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2" w:hRule="atLeast"/>
                    </w:trPr>
                    <w:tc>
                      <w:tcPr>
                        <w:tcW w:w="1392" w:type="pct"/>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硫化氢</w:t>
                        </w:r>
                      </w:p>
                    </w:tc>
                    <w:tc>
                      <w:tcPr>
                        <w:tcW w:w="1353" w:type="pct"/>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5.2</w:t>
                        </w:r>
                      </w:p>
                    </w:tc>
                    <w:tc>
                      <w:tcPr>
                        <w:tcW w:w="1127" w:type="pct"/>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0.06</w:t>
                        </w:r>
                      </w:p>
                    </w:tc>
                    <w:tc>
                      <w:tcPr>
                        <w:tcW w:w="1126" w:type="pct"/>
                        <w:vMerge w:val="continue"/>
                        <w:noWrap w:val="0"/>
                        <w:vAlign w:val="center"/>
                      </w:tcPr>
                      <w:p>
                        <w:pPr>
                          <w:pStyle w:val="123"/>
                          <w:ind w:firstLine="0" w:firstLineChars="0"/>
                          <w:rPr>
                            <w:rFonts w:hint="eastAsia"/>
                            <w:color w:val="000000" w:themeColor="text1"/>
                            <w:lang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2" w:hRule="atLeast"/>
                    </w:trPr>
                    <w:tc>
                      <w:tcPr>
                        <w:tcW w:w="1392" w:type="pct"/>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臭气浓度</w:t>
                        </w:r>
                      </w:p>
                    </w:tc>
                    <w:tc>
                      <w:tcPr>
                        <w:tcW w:w="1353" w:type="pct"/>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60000</w:t>
                        </w:r>
                      </w:p>
                    </w:tc>
                    <w:tc>
                      <w:tcPr>
                        <w:tcW w:w="1127" w:type="pct"/>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1126" w:type="pct"/>
                        <w:vMerge w:val="continue"/>
                        <w:noWrap w:val="0"/>
                        <w:vAlign w:val="center"/>
                      </w:tcPr>
                      <w:p>
                        <w:pPr>
                          <w:pStyle w:val="123"/>
                          <w:ind w:firstLine="0" w:firstLineChars="0"/>
                          <w:rPr>
                            <w:rFonts w:hint="eastAsia"/>
                            <w:color w:val="000000" w:themeColor="text1"/>
                            <w:lang w:eastAsia="zh-CN"/>
                            <w14:textFill>
                              <w14:solidFill>
                                <w14:schemeClr w14:val="tx1"/>
                              </w14:solidFill>
                            </w14:textFill>
                          </w:rPr>
                        </w:pPr>
                      </w:p>
                    </w:tc>
                  </w:tr>
                </w:tbl>
                <w:p>
                  <w:pPr>
                    <w:adjustRightInd w:val="0"/>
                    <w:snapToGrid w:val="0"/>
                    <w:spacing w:line="360" w:lineRule="auto"/>
                    <w:ind w:firstLine="480" w:firstLineChars="200"/>
                    <w:jc w:val="left"/>
                    <w:rPr>
                      <w:rFonts w:hint="eastAsia"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eastAsia" w:ascii="Times New Roman" w:hAnsi="Times New Roman" w:cs="Times New Roman"/>
                      <w:color w:val="000000" w:themeColor="text1"/>
                      <w:sz w:val="24"/>
                      <w:szCs w:val="24"/>
                      <w14:textFill>
                        <w14:solidFill>
                          <w14:schemeClr w14:val="tx1"/>
                        </w14:solidFill>
                      </w14:textFill>
                    </w:rPr>
                    <w:t>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清洗废水经管道收集后排入“污水调节+厌氧生化+兼氧生化+好氧生化+沉淀池+消毒池”组合工艺处理，生活污水、地面拖洗废水经管道收集后由化粪池预处理，两股废水分别处理达到瑶湖污水处理厂接管标准和《医疗机构水污染物排放标准》（GB18466-2005）表2中预处理标准从严值后一并由市政污水管网排入瑶湖污水处理厂深度处理；清下水由市政污水管网直接排入瑶湖污水处理厂，尾水排入赣江南支。</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Ansi="宋体"/>
                      <w:b/>
                      <w:color w:val="000000" w:themeColor="text1"/>
                      <w:sz w:val="18"/>
                      <w:szCs w:val="18"/>
                      <w14:textFill>
                        <w14:solidFill>
                          <w14:schemeClr w14:val="tx1"/>
                        </w14:solidFill>
                      </w14:textFill>
                    </w:rPr>
                  </w:pPr>
                  <w:r>
                    <w:rPr>
                      <w:rFonts w:hint="default" w:ascii="Times New Roman" w:hAnsi="Times New Roman" w:eastAsia="宋体" w:cs="Times New Roman"/>
                      <w:b/>
                      <w:bCs w:val="0"/>
                      <w:color w:val="000000" w:themeColor="text1"/>
                      <w:kern w:val="2"/>
                      <w:sz w:val="18"/>
                      <w:szCs w:val="18"/>
                      <w:lang w:val="en-US" w:eastAsia="zh-CN" w:bidi="ar-SA"/>
                      <w14:textFill>
                        <w14:solidFill>
                          <w14:schemeClr w14:val="tx1"/>
                        </w14:solidFill>
                      </w14:textFill>
                    </w:rPr>
                    <w:t>表</w:t>
                  </w:r>
                  <w:r>
                    <w:rPr>
                      <w:rFonts w:hint="eastAsia" w:ascii="Times New Roman" w:hAnsi="Times New Roman" w:cs="Times New Roman"/>
                      <w:b/>
                      <w:bCs w:val="0"/>
                      <w:color w:val="000000" w:themeColor="text1"/>
                      <w:kern w:val="2"/>
                      <w:sz w:val="18"/>
                      <w:szCs w:val="18"/>
                      <w:lang w:val="en-US" w:eastAsia="zh-CN" w:bidi="ar-SA"/>
                      <w14:textFill>
                        <w14:solidFill>
                          <w14:schemeClr w14:val="tx1"/>
                        </w14:solidFill>
                      </w14:textFill>
                    </w:rPr>
                    <w:t>1-</w:t>
                  </w:r>
                  <w:r>
                    <w:rPr>
                      <w:rFonts w:hint="eastAsia" w:cs="Times New Roman"/>
                      <w:b/>
                      <w:bCs w:val="0"/>
                      <w:color w:val="000000" w:themeColor="text1"/>
                      <w:kern w:val="2"/>
                      <w:sz w:val="18"/>
                      <w:szCs w:val="18"/>
                      <w:lang w:val="en-US" w:eastAsia="zh-CN" w:bidi="ar-SA"/>
                      <w14:textFill>
                        <w14:solidFill>
                          <w14:schemeClr w14:val="tx1"/>
                        </w14:solidFill>
                      </w14:textFill>
                    </w:rPr>
                    <w:t>4</w:t>
                  </w:r>
                  <w:r>
                    <w:rPr>
                      <w:rFonts w:hint="default" w:ascii="Times New Roman" w:hAnsi="Times New Roman" w:eastAsia="宋体" w:cs="Times New Roman"/>
                      <w:b/>
                      <w:bCs w:val="0"/>
                      <w:color w:val="000000" w:themeColor="text1"/>
                      <w:kern w:val="2"/>
                      <w:sz w:val="18"/>
                      <w:szCs w:val="18"/>
                      <w:lang w:val="en-US" w:eastAsia="zh-CN" w:bidi="ar-SA"/>
                      <w14:textFill>
                        <w14:solidFill>
                          <w14:schemeClr w14:val="tx1"/>
                        </w14:solidFill>
                      </w14:textFill>
                    </w:rPr>
                    <w:t xml:space="preserve">  废水污染物排放标准摘录</w:t>
                  </w:r>
                  <w:r>
                    <w:rPr>
                      <w:rFonts w:hAnsi="宋体"/>
                      <w:b/>
                      <w:color w:val="000000" w:themeColor="text1"/>
                      <w:sz w:val="18"/>
                      <w:szCs w:val="18"/>
                      <w14:textFill>
                        <w14:solidFill>
                          <w14:schemeClr w14:val="tx1"/>
                        </w14:solidFill>
                      </w14:textFill>
                    </w:rPr>
                    <w:t>（日均值，单位：</w:t>
                  </w:r>
                  <w:r>
                    <w:rPr>
                      <w:b/>
                      <w:color w:val="000000" w:themeColor="text1"/>
                      <w:sz w:val="18"/>
                      <w:szCs w:val="18"/>
                      <w14:textFill>
                        <w14:solidFill>
                          <w14:schemeClr w14:val="tx1"/>
                        </w14:solidFill>
                      </w14:textFill>
                    </w:rPr>
                    <w:t>mg/l</w:t>
                  </w:r>
                  <w:r>
                    <w:rPr>
                      <w:rFonts w:hAnsi="宋体"/>
                      <w:b/>
                      <w:color w:val="000000" w:themeColor="text1"/>
                      <w:sz w:val="18"/>
                      <w:szCs w:val="18"/>
                      <w14:textFill>
                        <w14:solidFill>
                          <w14:schemeClr w14:val="tx1"/>
                        </w14:solidFill>
                      </w14:textFill>
                    </w:rPr>
                    <w:t>，</w:t>
                  </w:r>
                  <w:r>
                    <w:rPr>
                      <w:b/>
                      <w:color w:val="000000" w:themeColor="text1"/>
                      <w:sz w:val="18"/>
                      <w:szCs w:val="18"/>
                      <w14:textFill>
                        <w14:solidFill>
                          <w14:schemeClr w14:val="tx1"/>
                        </w14:solidFill>
                      </w14:textFill>
                    </w:rPr>
                    <w:t xml:space="preserve"> PH</w:t>
                  </w:r>
                  <w:r>
                    <w:rPr>
                      <w:rFonts w:hAnsi="宋体"/>
                      <w:b/>
                      <w:color w:val="000000" w:themeColor="text1"/>
                      <w:sz w:val="18"/>
                      <w:szCs w:val="18"/>
                      <w14:textFill>
                        <w14:solidFill>
                          <w14:schemeClr w14:val="tx1"/>
                        </w14:solidFill>
                      </w14:textFill>
                    </w:rPr>
                    <w:t>为无量纲）</w:t>
                  </w:r>
                </w:p>
                <w:tbl>
                  <w:tblPr>
                    <w:tblStyle w:val="29"/>
                    <w:tblW w:w="49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09"/>
                    <w:gridCol w:w="2216"/>
                    <w:gridCol w:w="1047"/>
                    <w:gridCol w:w="2049"/>
                    <w:gridCol w:w="1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809" w:type="dxa"/>
                        <w:tcBorders>
                          <w:top w:val="single" w:color="auto" w:sz="12"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b/>
                            <w:bCs/>
                            <w:color w:val="000000" w:themeColor="text1"/>
                            <w:sz w:val="18"/>
                            <w:szCs w:val="18"/>
                            <w:highlight w:val="none"/>
                            <w14:textFill>
                              <w14:solidFill>
                                <w14:schemeClr w14:val="tx1"/>
                              </w14:solidFill>
                            </w14:textFill>
                          </w:rPr>
                        </w:pPr>
                        <w:r>
                          <w:rPr>
                            <w:b/>
                            <w:bCs/>
                            <w:color w:val="000000" w:themeColor="text1"/>
                            <w:sz w:val="18"/>
                            <w:szCs w:val="18"/>
                            <w:highlight w:val="none"/>
                            <w14:textFill>
                              <w14:solidFill>
                                <w14:schemeClr w14:val="tx1"/>
                              </w14:solidFill>
                            </w14:textFill>
                          </w:rPr>
                          <w:t>项目</w:t>
                        </w:r>
                      </w:p>
                    </w:tc>
                    <w:tc>
                      <w:tcPr>
                        <w:tcW w:w="2215"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b/>
                            <w:bCs/>
                            <w:color w:val="000000" w:themeColor="text1"/>
                            <w:sz w:val="18"/>
                            <w:szCs w:val="18"/>
                            <w:highlight w:val="none"/>
                            <w14:textFill>
                              <w14:solidFill>
                                <w14:schemeClr w14:val="tx1"/>
                              </w14:solidFill>
                            </w14:textFill>
                          </w:rPr>
                        </w:pPr>
                        <w:r>
                          <w:rPr>
                            <w:b/>
                            <w:bCs/>
                            <w:color w:val="000000" w:themeColor="text1"/>
                            <w:sz w:val="18"/>
                            <w:szCs w:val="18"/>
                            <w:highlight w:val="none"/>
                            <w14:textFill>
                              <w14:solidFill>
                                <w14:schemeClr w14:val="tx1"/>
                              </w14:solidFill>
                            </w14:textFill>
                          </w:rPr>
                          <w:t>标准</w:t>
                        </w:r>
                      </w:p>
                    </w:tc>
                    <w:tc>
                      <w:tcPr>
                        <w:tcW w:w="1046"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b/>
                            <w:bCs/>
                            <w:color w:val="000000" w:themeColor="text1"/>
                            <w:sz w:val="18"/>
                            <w:szCs w:val="18"/>
                            <w:highlight w:val="none"/>
                            <w14:textFill>
                              <w14:solidFill>
                                <w14:schemeClr w14:val="tx1"/>
                              </w14:solidFill>
                            </w14:textFill>
                          </w:rPr>
                        </w:pPr>
                        <w:r>
                          <w:rPr>
                            <w:b/>
                            <w:bCs/>
                            <w:color w:val="000000" w:themeColor="text1"/>
                            <w:sz w:val="18"/>
                            <w:szCs w:val="18"/>
                            <w:highlight w:val="none"/>
                            <w14:textFill>
                              <w14:solidFill>
                                <w14:schemeClr w14:val="tx1"/>
                              </w14:solidFill>
                            </w14:textFill>
                          </w:rPr>
                          <w:t>级别</w:t>
                        </w:r>
                      </w:p>
                    </w:tc>
                    <w:tc>
                      <w:tcPr>
                        <w:tcW w:w="3813" w:type="dxa"/>
                        <w:gridSpan w:val="2"/>
                        <w:tcBorders>
                          <w:top w:val="single" w:color="auto" w:sz="12" w:space="0"/>
                          <w:left w:val="single" w:color="auto" w:sz="4" w:space="0"/>
                          <w:bottom w:val="single" w:color="auto" w:sz="4" w:space="0"/>
                          <w:right w:val="nil"/>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b/>
                            <w:bCs/>
                            <w:color w:val="000000" w:themeColor="text1"/>
                            <w:sz w:val="18"/>
                            <w:szCs w:val="18"/>
                            <w:highlight w:val="none"/>
                            <w14:textFill>
                              <w14:solidFill>
                                <w14:schemeClr w14:val="tx1"/>
                              </w14:solidFill>
                            </w14:textFill>
                          </w:rPr>
                        </w:pPr>
                        <w:r>
                          <w:rPr>
                            <w:b/>
                            <w:bCs/>
                            <w:color w:val="000000" w:themeColor="text1"/>
                            <w:sz w:val="18"/>
                            <w:szCs w:val="18"/>
                            <w:highlight w:val="none"/>
                            <w14:textFill>
                              <w14:solidFill>
                                <w14:schemeClr w14:val="tx1"/>
                              </w14:solidFill>
                            </w14:textFill>
                          </w:rPr>
                          <w:t>评价标准值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09" w:type="dxa"/>
                        <w:vMerge w:val="restar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r>
                          <w:rPr>
                            <w:color w:val="000000" w:themeColor="text1"/>
                            <w:sz w:val="18"/>
                            <w:szCs w:val="18"/>
                            <w:highlight w:val="none"/>
                            <w:lang w:val="zh-CN"/>
                            <w14:textFill>
                              <w14:solidFill>
                                <w14:schemeClr w14:val="tx1"/>
                              </w14:solidFill>
                            </w14:textFill>
                          </w:rPr>
                          <w:t>废水</w:t>
                        </w:r>
                      </w:p>
                    </w:tc>
                    <w:tc>
                      <w:tcPr>
                        <w:tcW w:w="22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r>
                          <w:rPr>
                            <w:color w:val="000000" w:themeColor="text1"/>
                            <w:sz w:val="18"/>
                            <w:szCs w:val="18"/>
                            <w:highlight w:val="none"/>
                            <w:lang w:val="zh-CN"/>
                            <w14:textFill>
                              <w14:solidFill>
                                <w14:schemeClr w14:val="tx1"/>
                              </w14:solidFill>
                            </w14:textFill>
                          </w:rPr>
                          <w:t>标准名称</w:t>
                        </w:r>
                      </w:p>
                    </w:tc>
                    <w:tc>
                      <w:tcPr>
                        <w:tcW w:w="10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r>
                          <w:rPr>
                            <w:color w:val="000000" w:themeColor="text1"/>
                            <w:sz w:val="18"/>
                            <w:szCs w:val="18"/>
                            <w:highlight w:val="none"/>
                            <w:lang w:val="zh-CN"/>
                            <w14:textFill>
                              <w14:solidFill>
                                <w14:schemeClr w14:val="tx1"/>
                              </w14:solidFill>
                            </w14:textFill>
                          </w:rPr>
                          <w:t>排污口编号</w:t>
                        </w:r>
                      </w:p>
                    </w:tc>
                    <w:tc>
                      <w:tcPr>
                        <w:tcW w:w="20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r>
                          <w:rPr>
                            <w:color w:val="000000" w:themeColor="text1"/>
                            <w:sz w:val="18"/>
                            <w:szCs w:val="18"/>
                            <w:highlight w:val="none"/>
                            <w:lang w:val="zh-CN"/>
                            <w14:textFill>
                              <w14:solidFill>
                                <w14:schemeClr w14:val="tx1"/>
                              </w14:solidFill>
                            </w14:textFill>
                          </w:rPr>
                          <w:t>污染物名称</w:t>
                        </w:r>
                      </w:p>
                    </w:tc>
                    <w:tc>
                      <w:tcPr>
                        <w:tcW w:w="1765" w:type="dxa"/>
                        <w:tcBorders>
                          <w:top w:val="single" w:color="auto" w:sz="4" w:space="0"/>
                          <w:left w:val="single" w:color="auto" w:sz="4" w:space="0"/>
                          <w:bottom w:val="single" w:color="auto" w:sz="4" w:space="0"/>
                          <w:right w:val="nil"/>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r>
                          <w:rPr>
                            <w:color w:val="000000" w:themeColor="text1"/>
                            <w:sz w:val="18"/>
                            <w:szCs w:val="18"/>
                            <w:highlight w:val="none"/>
                            <w:lang w:val="zh-CN"/>
                            <w14:textFill>
                              <w14:solidFill>
                                <w14:schemeClr w14:val="tx1"/>
                              </w14:solidFill>
                            </w14:textFill>
                          </w:rPr>
                          <w:t>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09"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p>
                    </w:tc>
                    <w:tc>
                      <w:tcPr>
                        <w:tcW w:w="221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瑶湖污水处理厂接管标准和</w:t>
                        </w:r>
                        <w:r>
                          <w:rPr>
                            <w:color w:val="000000" w:themeColor="text1"/>
                            <w:sz w:val="18"/>
                            <w:szCs w:val="18"/>
                            <w:highlight w:val="none"/>
                            <w:lang w:val="zh-CN"/>
                            <w14:textFill>
                              <w14:solidFill>
                                <w14:schemeClr w14:val="tx1"/>
                              </w14:solidFill>
                            </w14:textFill>
                          </w:rPr>
                          <w:t>《医疗机构水污染物排放标准》（GB18466-2005）</w:t>
                        </w:r>
                        <w:r>
                          <w:rPr>
                            <w:color w:val="000000" w:themeColor="text1"/>
                            <w:sz w:val="18"/>
                            <w:szCs w:val="18"/>
                            <w:highlight w:val="none"/>
                            <w14:textFill>
                              <w14:solidFill>
                                <w14:schemeClr w14:val="tx1"/>
                              </w14:solidFill>
                            </w14:textFill>
                          </w:rPr>
                          <w:t>表2中预处理标准从严值</w:t>
                        </w:r>
                      </w:p>
                    </w:tc>
                    <w:tc>
                      <w:tcPr>
                        <w:tcW w:w="1046"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废水总排口</w:t>
                        </w:r>
                      </w:p>
                    </w:tc>
                    <w:tc>
                      <w:tcPr>
                        <w:tcW w:w="20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pH</w:t>
                        </w:r>
                      </w:p>
                    </w:tc>
                    <w:tc>
                      <w:tcPr>
                        <w:tcW w:w="1765" w:type="dxa"/>
                        <w:tcBorders>
                          <w:top w:val="single" w:color="auto" w:sz="4" w:space="0"/>
                          <w:left w:val="single" w:color="auto" w:sz="4" w:space="0"/>
                          <w:bottom w:val="single" w:color="auto" w:sz="4" w:space="0"/>
                          <w:right w:val="nil"/>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r>
                          <w:rPr>
                            <w:color w:val="000000" w:themeColor="text1"/>
                            <w:kern w:val="21"/>
                            <w:sz w:val="18"/>
                            <w:szCs w:val="18"/>
                            <w:highlight w:val="none"/>
                            <w14:textFill>
                              <w14:solidFill>
                                <w14:schemeClr w14:val="tx1"/>
                              </w14:solidFill>
                            </w14:textFill>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1" w:hRule="atLeast"/>
                      <w:jc w:val="center"/>
                    </w:trPr>
                    <w:tc>
                      <w:tcPr>
                        <w:tcW w:w="809"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p>
                    </w:tc>
                    <w:tc>
                      <w:tcPr>
                        <w:tcW w:w="22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lang w:val="zh-CN"/>
                            <w14:textFill>
                              <w14:solidFill>
                                <w14:schemeClr w14:val="tx1"/>
                              </w14:solidFill>
                            </w14:textFill>
                          </w:rPr>
                        </w:pPr>
                      </w:p>
                    </w:tc>
                    <w:tc>
                      <w:tcPr>
                        <w:tcW w:w="1046"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lang w:val="zh-CN"/>
                            <w14:textFill>
                              <w14:solidFill>
                                <w14:schemeClr w14:val="tx1"/>
                              </w14:solidFill>
                            </w14:textFill>
                          </w:rPr>
                        </w:pPr>
                      </w:p>
                    </w:tc>
                    <w:tc>
                      <w:tcPr>
                        <w:tcW w:w="20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lang w:val="zh-CN"/>
                            <w14:textFill>
                              <w14:solidFill>
                                <w14:schemeClr w14:val="tx1"/>
                              </w14:solidFill>
                            </w14:textFill>
                          </w:rPr>
                        </w:pPr>
                        <w:r>
                          <w:rPr>
                            <w:color w:val="000000" w:themeColor="text1"/>
                            <w:sz w:val="18"/>
                            <w:szCs w:val="18"/>
                            <w:highlight w:val="none"/>
                            <w14:textFill>
                              <w14:solidFill>
                                <w14:schemeClr w14:val="tx1"/>
                              </w14:solidFill>
                            </w14:textFill>
                          </w:rPr>
                          <w:t>CODcr</w:t>
                        </w:r>
                      </w:p>
                    </w:tc>
                    <w:tc>
                      <w:tcPr>
                        <w:tcW w:w="1765" w:type="dxa"/>
                        <w:tcBorders>
                          <w:top w:val="single" w:color="auto" w:sz="4" w:space="0"/>
                          <w:left w:val="single" w:color="auto" w:sz="4" w:space="0"/>
                          <w:right w:val="nil"/>
                        </w:tcBorders>
                        <w:noWrap w:val="0"/>
                        <w:vAlign w:val="center"/>
                      </w:tcPr>
                      <w:p>
                        <w:pPr>
                          <w:pStyle w:val="28"/>
                          <w:keepNext w:val="0"/>
                          <w:keepLines w:val="0"/>
                          <w:pageBreakBefore w:val="0"/>
                          <w:widowControl w:val="0"/>
                          <w:tabs>
                            <w:tab w:val="left" w:pos="420"/>
                            <w:tab w:val="left" w:pos="870"/>
                            <w:tab w:val="left" w:pos="3150"/>
                          </w:tabs>
                          <w:kinsoku/>
                          <w:wordWrap/>
                          <w:overflowPunct/>
                          <w:topLinePunct w:val="0"/>
                          <w:bidi w:val="0"/>
                          <w:snapToGrid w:val="0"/>
                          <w:spacing w:beforeLines="0" w:after="0" w:line="0" w:lineRule="atLeast"/>
                          <w:ind w:left="0" w:leftChars="0" w:firstLine="0" w:firstLineChars="0"/>
                          <w:jc w:val="center"/>
                          <w:rPr>
                            <w:color w:val="000000" w:themeColor="text1"/>
                            <w:sz w:val="18"/>
                            <w:szCs w:val="18"/>
                            <w:highlight w:val="none"/>
                            <w:lang w:val="en-US" w:eastAsia="zh-CN"/>
                            <w14:textFill>
                              <w14:solidFill>
                                <w14:schemeClr w14:val="tx1"/>
                              </w14:solidFill>
                            </w14:textFill>
                          </w:rPr>
                        </w:pPr>
                        <w:r>
                          <w:rPr>
                            <w:color w:val="000000" w:themeColor="text1"/>
                            <w:sz w:val="18"/>
                            <w:szCs w:val="18"/>
                            <w:highlight w:val="none"/>
                            <w:lang w:val="en-US" w:eastAsia="zh-CN"/>
                            <w14:textFill>
                              <w14:solidFill>
                                <w14:schemeClr w14:val="tx1"/>
                              </w14:solidFill>
                            </w14:textFill>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9" w:hRule="atLeast"/>
                      <w:jc w:val="center"/>
                    </w:trPr>
                    <w:tc>
                      <w:tcPr>
                        <w:tcW w:w="809"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p>
                    </w:tc>
                    <w:tc>
                      <w:tcPr>
                        <w:tcW w:w="221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lang w:val="zh-CN"/>
                            <w14:textFill>
                              <w14:solidFill>
                                <w14:schemeClr w14:val="tx1"/>
                              </w14:solidFill>
                            </w14:textFill>
                          </w:rPr>
                        </w:pPr>
                      </w:p>
                    </w:tc>
                    <w:tc>
                      <w:tcPr>
                        <w:tcW w:w="1046"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lang w:val="zh-CN"/>
                            <w14:textFill>
                              <w14:solidFill>
                                <w14:schemeClr w14:val="tx1"/>
                              </w14:solidFill>
                            </w14:textFill>
                          </w:rPr>
                        </w:pPr>
                      </w:p>
                    </w:tc>
                    <w:tc>
                      <w:tcPr>
                        <w:tcW w:w="20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kern w:val="2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BOD</w:t>
                        </w:r>
                        <w:r>
                          <w:rPr>
                            <w:color w:val="000000" w:themeColor="text1"/>
                            <w:sz w:val="18"/>
                            <w:szCs w:val="18"/>
                            <w:highlight w:val="none"/>
                            <w:vertAlign w:val="subscript"/>
                            <w14:textFill>
                              <w14:solidFill>
                                <w14:schemeClr w14:val="tx1"/>
                              </w14:solidFill>
                            </w14:textFill>
                          </w:rPr>
                          <w:t>5</w:t>
                        </w:r>
                      </w:p>
                    </w:tc>
                    <w:tc>
                      <w:tcPr>
                        <w:tcW w:w="1765" w:type="dxa"/>
                        <w:tcBorders>
                          <w:left w:val="single" w:color="auto" w:sz="4" w:space="0"/>
                          <w:right w:val="nil"/>
                        </w:tcBorders>
                        <w:noWrap w:val="0"/>
                        <w:vAlign w:val="center"/>
                      </w:tcPr>
                      <w:p>
                        <w:pPr>
                          <w:pStyle w:val="28"/>
                          <w:keepNext w:val="0"/>
                          <w:keepLines w:val="0"/>
                          <w:pageBreakBefore w:val="0"/>
                          <w:widowControl w:val="0"/>
                          <w:tabs>
                            <w:tab w:val="left" w:pos="420"/>
                            <w:tab w:val="left" w:pos="870"/>
                            <w:tab w:val="left" w:pos="3150"/>
                          </w:tabs>
                          <w:kinsoku/>
                          <w:wordWrap/>
                          <w:overflowPunct/>
                          <w:topLinePunct w:val="0"/>
                          <w:bidi w:val="0"/>
                          <w:snapToGrid w:val="0"/>
                          <w:spacing w:beforeLines="0" w:after="0" w:line="0" w:lineRule="atLeast"/>
                          <w:ind w:left="0" w:leftChars="0" w:firstLine="0" w:firstLineChars="0"/>
                          <w:jc w:val="center"/>
                          <w:rPr>
                            <w:color w:val="000000" w:themeColor="text1"/>
                            <w:sz w:val="18"/>
                            <w:szCs w:val="18"/>
                            <w:highlight w:val="none"/>
                            <w:lang w:val="en-US" w:eastAsia="zh-CN"/>
                            <w14:textFill>
                              <w14:solidFill>
                                <w14:schemeClr w14:val="tx1"/>
                              </w14:solidFill>
                            </w14:textFill>
                          </w:rPr>
                        </w:pPr>
                        <w:r>
                          <w:rPr>
                            <w:color w:val="000000" w:themeColor="text1"/>
                            <w:sz w:val="18"/>
                            <w:szCs w:val="18"/>
                            <w:highlight w:val="none"/>
                            <w:lang w:val="en-US" w:eastAsia="zh-CN"/>
                            <w14:textFill>
                              <w14:solidFill>
                                <w14:schemeClr w14:val="tx1"/>
                              </w14:solidFill>
                            </w14:textFill>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809"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p>
                    </w:tc>
                    <w:tc>
                      <w:tcPr>
                        <w:tcW w:w="221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lang w:val="zh-CN"/>
                            <w14:textFill>
                              <w14:solidFill>
                                <w14:schemeClr w14:val="tx1"/>
                              </w14:solidFill>
                            </w14:textFill>
                          </w:rPr>
                        </w:pPr>
                      </w:p>
                    </w:tc>
                    <w:tc>
                      <w:tcPr>
                        <w:tcW w:w="1046"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lang w:val="zh-CN"/>
                            <w14:textFill>
                              <w14:solidFill>
                                <w14:schemeClr w14:val="tx1"/>
                              </w14:solidFill>
                            </w14:textFill>
                          </w:rPr>
                        </w:pPr>
                      </w:p>
                    </w:tc>
                    <w:tc>
                      <w:tcPr>
                        <w:tcW w:w="20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kern w:val="2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SS</w:t>
                        </w:r>
                      </w:p>
                    </w:tc>
                    <w:tc>
                      <w:tcPr>
                        <w:tcW w:w="1765" w:type="dxa"/>
                        <w:tcBorders>
                          <w:left w:val="single" w:color="auto" w:sz="4" w:space="0"/>
                          <w:right w:val="nil"/>
                        </w:tcBorders>
                        <w:noWrap w:val="0"/>
                        <w:vAlign w:val="center"/>
                      </w:tcPr>
                      <w:p>
                        <w:pPr>
                          <w:pStyle w:val="28"/>
                          <w:keepNext w:val="0"/>
                          <w:keepLines w:val="0"/>
                          <w:pageBreakBefore w:val="0"/>
                          <w:widowControl w:val="0"/>
                          <w:tabs>
                            <w:tab w:val="left" w:pos="420"/>
                            <w:tab w:val="left" w:pos="870"/>
                            <w:tab w:val="left" w:pos="3150"/>
                          </w:tabs>
                          <w:kinsoku/>
                          <w:wordWrap/>
                          <w:overflowPunct/>
                          <w:topLinePunct w:val="0"/>
                          <w:bidi w:val="0"/>
                          <w:snapToGrid w:val="0"/>
                          <w:spacing w:beforeLines="0" w:after="0" w:line="0" w:lineRule="atLeast"/>
                          <w:ind w:left="0" w:leftChars="0" w:firstLine="0" w:firstLineChars="0"/>
                          <w:jc w:val="center"/>
                          <w:rPr>
                            <w:color w:val="000000" w:themeColor="text1"/>
                            <w:sz w:val="18"/>
                            <w:szCs w:val="18"/>
                            <w:highlight w:val="none"/>
                            <w:lang w:val="en-US" w:eastAsia="zh-CN"/>
                            <w14:textFill>
                              <w14:solidFill>
                                <w14:schemeClr w14:val="tx1"/>
                              </w14:solidFill>
                            </w14:textFill>
                          </w:rPr>
                        </w:pPr>
                        <w:r>
                          <w:rPr>
                            <w:color w:val="000000" w:themeColor="text1"/>
                            <w:sz w:val="18"/>
                            <w:szCs w:val="18"/>
                            <w:highlight w:val="none"/>
                            <w:lang w:val="en-US" w:eastAsia="zh-CN"/>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09"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p>
                    </w:tc>
                    <w:tc>
                      <w:tcPr>
                        <w:tcW w:w="221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lang w:val="zh-CN"/>
                            <w14:textFill>
                              <w14:solidFill>
                                <w14:schemeClr w14:val="tx1"/>
                              </w14:solidFill>
                            </w14:textFill>
                          </w:rPr>
                        </w:pPr>
                      </w:p>
                    </w:tc>
                    <w:tc>
                      <w:tcPr>
                        <w:tcW w:w="1046"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lang w:val="zh-CN"/>
                            <w14:textFill>
                              <w14:solidFill>
                                <w14:schemeClr w14:val="tx1"/>
                              </w14:solidFill>
                            </w14:textFill>
                          </w:rPr>
                        </w:pPr>
                      </w:p>
                    </w:tc>
                    <w:tc>
                      <w:tcPr>
                        <w:tcW w:w="20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kern w:val="2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NH</w:t>
                        </w:r>
                        <w:r>
                          <w:rPr>
                            <w:color w:val="000000" w:themeColor="text1"/>
                            <w:sz w:val="18"/>
                            <w:szCs w:val="18"/>
                            <w:highlight w:val="none"/>
                            <w:vertAlign w:val="subscript"/>
                            <w14:textFill>
                              <w14:solidFill>
                                <w14:schemeClr w14:val="tx1"/>
                              </w14:solidFill>
                            </w14:textFill>
                          </w:rPr>
                          <w:t>3</w:t>
                        </w:r>
                        <w:r>
                          <w:rPr>
                            <w:color w:val="000000" w:themeColor="text1"/>
                            <w:sz w:val="18"/>
                            <w:szCs w:val="18"/>
                            <w:highlight w:val="none"/>
                            <w14:textFill>
                              <w14:solidFill>
                                <w14:schemeClr w14:val="tx1"/>
                              </w14:solidFill>
                            </w14:textFill>
                          </w:rPr>
                          <w:t>-N</w:t>
                        </w:r>
                      </w:p>
                    </w:tc>
                    <w:tc>
                      <w:tcPr>
                        <w:tcW w:w="1765" w:type="dxa"/>
                        <w:tcBorders>
                          <w:left w:val="single" w:color="auto" w:sz="4" w:space="0"/>
                          <w:bottom w:val="single" w:color="auto" w:sz="4" w:space="0"/>
                          <w:right w:val="nil"/>
                        </w:tcBorders>
                        <w:noWrap w:val="0"/>
                        <w:vAlign w:val="center"/>
                      </w:tcPr>
                      <w:p>
                        <w:pPr>
                          <w:pStyle w:val="28"/>
                          <w:keepNext w:val="0"/>
                          <w:keepLines w:val="0"/>
                          <w:pageBreakBefore w:val="0"/>
                          <w:widowControl w:val="0"/>
                          <w:tabs>
                            <w:tab w:val="left" w:pos="420"/>
                            <w:tab w:val="left" w:pos="870"/>
                            <w:tab w:val="left" w:pos="3150"/>
                          </w:tabs>
                          <w:kinsoku/>
                          <w:wordWrap/>
                          <w:overflowPunct/>
                          <w:topLinePunct w:val="0"/>
                          <w:bidi w:val="0"/>
                          <w:snapToGrid w:val="0"/>
                          <w:spacing w:beforeLines="0" w:after="0" w:line="0" w:lineRule="atLeast"/>
                          <w:ind w:left="0" w:leftChars="0" w:firstLine="0" w:firstLineChars="0"/>
                          <w:jc w:val="center"/>
                          <w:rPr>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 w:hRule="atLeast"/>
                      <w:jc w:val="center"/>
                    </w:trPr>
                    <w:tc>
                      <w:tcPr>
                        <w:tcW w:w="809"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p>
                    </w:tc>
                    <w:tc>
                      <w:tcPr>
                        <w:tcW w:w="221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lang w:val="zh-CN"/>
                            <w14:textFill>
                              <w14:solidFill>
                                <w14:schemeClr w14:val="tx1"/>
                              </w14:solidFill>
                            </w14:textFill>
                          </w:rPr>
                        </w:pPr>
                      </w:p>
                    </w:tc>
                    <w:tc>
                      <w:tcPr>
                        <w:tcW w:w="1046"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lang w:val="zh-CN"/>
                            <w14:textFill>
                              <w14:solidFill>
                                <w14:schemeClr w14:val="tx1"/>
                              </w14:solidFill>
                            </w14:textFill>
                          </w:rPr>
                        </w:pPr>
                      </w:p>
                    </w:tc>
                    <w:tc>
                      <w:tcPr>
                        <w:tcW w:w="20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TP</w:t>
                        </w:r>
                      </w:p>
                    </w:tc>
                    <w:tc>
                      <w:tcPr>
                        <w:tcW w:w="1765" w:type="dxa"/>
                        <w:tcBorders>
                          <w:left w:val="single" w:color="auto" w:sz="4" w:space="0"/>
                          <w:bottom w:val="single" w:color="auto" w:sz="4" w:space="0"/>
                          <w:right w:val="nil"/>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rFonts w:hint="eastAsia"/>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7" w:hRule="atLeast"/>
                      <w:jc w:val="center"/>
                    </w:trPr>
                    <w:tc>
                      <w:tcPr>
                        <w:tcW w:w="809"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p>
                    </w:tc>
                    <w:tc>
                      <w:tcPr>
                        <w:tcW w:w="221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lang w:val="zh-CN"/>
                            <w14:textFill>
                              <w14:solidFill>
                                <w14:schemeClr w14:val="tx1"/>
                              </w14:solidFill>
                            </w14:textFill>
                          </w:rPr>
                        </w:pPr>
                      </w:p>
                    </w:tc>
                    <w:tc>
                      <w:tcPr>
                        <w:tcW w:w="1046"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lang w:val="zh-CN"/>
                            <w14:textFill>
                              <w14:solidFill>
                                <w14:schemeClr w14:val="tx1"/>
                              </w14:solidFill>
                            </w14:textFill>
                          </w:rPr>
                        </w:pPr>
                      </w:p>
                    </w:tc>
                    <w:tc>
                      <w:tcPr>
                        <w:tcW w:w="20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TN</w:t>
                        </w:r>
                      </w:p>
                    </w:tc>
                    <w:tc>
                      <w:tcPr>
                        <w:tcW w:w="1765" w:type="dxa"/>
                        <w:tcBorders>
                          <w:left w:val="single" w:color="auto" w:sz="4" w:space="0"/>
                          <w:bottom w:val="single" w:color="auto" w:sz="4" w:space="0"/>
                          <w:right w:val="nil"/>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09"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p>
                    </w:tc>
                    <w:tc>
                      <w:tcPr>
                        <w:tcW w:w="2215" w:type="dxa"/>
                        <w:vMerge w:val="restart"/>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参照</w:t>
                        </w:r>
                        <w:r>
                          <w:rPr>
                            <w:color w:val="000000" w:themeColor="text1"/>
                            <w:sz w:val="18"/>
                            <w:szCs w:val="18"/>
                            <w:highlight w:val="none"/>
                            <w:lang w:val="zh-CN"/>
                            <w14:textFill>
                              <w14:solidFill>
                                <w14:schemeClr w14:val="tx1"/>
                              </w14:solidFill>
                            </w14:textFill>
                          </w:rPr>
                          <w:t>《医疗机构水污染物排放标准》（GB18466-2005）</w:t>
                        </w:r>
                        <w:r>
                          <w:rPr>
                            <w:color w:val="000000" w:themeColor="text1"/>
                            <w:sz w:val="18"/>
                            <w:szCs w:val="18"/>
                            <w:highlight w:val="none"/>
                            <w14:textFill>
                              <w14:solidFill>
                                <w14:schemeClr w14:val="tx1"/>
                              </w14:solidFill>
                            </w14:textFill>
                          </w:rPr>
                          <w:t>表2中排放标准</w:t>
                        </w:r>
                      </w:p>
                    </w:tc>
                    <w:tc>
                      <w:tcPr>
                        <w:tcW w:w="1046"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lang w:val="zh-CN"/>
                            <w14:textFill>
                              <w14:solidFill>
                                <w14:schemeClr w14:val="tx1"/>
                              </w14:solidFill>
                            </w14:textFill>
                          </w:rPr>
                        </w:pPr>
                      </w:p>
                    </w:tc>
                    <w:tc>
                      <w:tcPr>
                        <w:tcW w:w="20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粪大肠菌群数（MPN/L）</w:t>
                        </w:r>
                      </w:p>
                    </w:tc>
                    <w:tc>
                      <w:tcPr>
                        <w:tcW w:w="1765" w:type="dxa"/>
                        <w:tcBorders>
                          <w:left w:val="single" w:color="auto" w:sz="4" w:space="0"/>
                          <w:bottom w:val="single" w:color="auto" w:sz="4" w:space="0"/>
                          <w:right w:val="nil"/>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7" w:hRule="atLeast"/>
                      <w:jc w:val="center"/>
                    </w:trPr>
                    <w:tc>
                      <w:tcPr>
                        <w:tcW w:w="809"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p>
                    </w:tc>
                    <w:tc>
                      <w:tcPr>
                        <w:tcW w:w="221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p>
                    </w:tc>
                    <w:tc>
                      <w:tcPr>
                        <w:tcW w:w="1046"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lang w:val="zh-CN"/>
                            <w14:textFill>
                              <w14:solidFill>
                                <w14:schemeClr w14:val="tx1"/>
                              </w14:solidFill>
                            </w14:textFill>
                          </w:rPr>
                        </w:pPr>
                      </w:p>
                    </w:tc>
                    <w:tc>
                      <w:tcPr>
                        <w:tcW w:w="20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LAS</w:t>
                        </w:r>
                      </w:p>
                    </w:tc>
                    <w:tc>
                      <w:tcPr>
                        <w:tcW w:w="1765" w:type="dxa"/>
                        <w:tcBorders>
                          <w:left w:val="single" w:color="auto" w:sz="4" w:space="0"/>
                          <w:bottom w:val="single" w:color="auto" w:sz="4" w:space="0"/>
                          <w:right w:val="nil"/>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 w:hRule="atLeast"/>
                      <w:jc w:val="center"/>
                    </w:trPr>
                    <w:tc>
                      <w:tcPr>
                        <w:tcW w:w="809"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p>
                    </w:tc>
                    <w:tc>
                      <w:tcPr>
                        <w:tcW w:w="221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p>
                    </w:tc>
                    <w:tc>
                      <w:tcPr>
                        <w:tcW w:w="1046"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lang w:val="zh-CN"/>
                            <w14:textFill>
                              <w14:solidFill>
                                <w14:schemeClr w14:val="tx1"/>
                              </w14:solidFill>
                            </w14:textFill>
                          </w:rPr>
                        </w:pPr>
                      </w:p>
                    </w:tc>
                    <w:tc>
                      <w:tcPr>
                        <w:tcW w:w="20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总余氯</w:t>
                        </w:r>
                      </w:p>
                    </w:tc>
                    <w:tc>
                      <w:tcPr>
                        <w:tcW w:w="1765" w:type="dxa"/>
                        <w:tcBorders>
                          <w:left w:val="single" w:color="auto" w:sz="4" w:space="0"/>
                          <w:bottom w:val="single" w:color="auto" w:sz="4" w:space="0"/>
                          <w:right w:val="nil"/>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09"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p>
                    </w:tc>
                    <w:tc>
                      <w:tcPr>
                        <w:tcW w:w="221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r>
                          <w:rPr>
                            <w:color w:val="000000" w:themeColor="text1"/>
                            <w:sz w:val="18"/>
                            <w:szCs w:val="18"/>
                            <w:highlight w:val="none"/>
                            <w:lang w:val="zh-CN"/>
                            <w14:textFill>
                              <w14:solidFill>
                                <w14:schemeClr w14:val="tx1"/>
                              </w14:solidFill>
                            </w14:textFill>
                          </w:rPr>
                          <w:t>《城镇污水处理厂污染物排放标准》（GB18918-2002）一级A</w:t>
                        </w:r>
                      </w:p>
                    </w:tc>
                    <w:tc>
                      <w:tcPr>
                        <w:tcW w:w="1046"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lang w:val="zh-CN"/>
                            <w14:textFill>
                              <w14:solidFill>
                                <w14:schemeClr w14:val="tx1"/>
                              </w14:solidFill>
                            </w14:textFill>
                          </w:rPr>
                        </w:pPr>
                        <w:r>
                          <w:rPr>
                            <w:color w:val="000000" w:themeColor="text1"/>
                            <w:sz w:val="18"/>
                            <w:szCs w:val="18"/>
                            <w:highlight w:val="none"/>
                            <w:lang w:val="zh-CN"/>
                            <w14:textFill>
                              <w14:solidFill>
                                <w14:schemeClr w14:val="tx1"/>
                              </w14:solidFill>
                            </w14:textFill>
                          </w:rPr>
                          <w:t>瑶湖污水处理厂总排口</w:t>
                        </w:r>
                      </w:p>
                    </w:tc>
                    <w:tc>
                      <w:tcPr>
                        <w:tcW w:w="20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pH</w:t>
                        </w:r>
                      </w:p>
                    </w:tc>
                    <w:tc>
                      <w:tcPr>
                        <w:tcW w:w="1765" w:type="dxa"/>
                        <w:tcBorders>
                          <w:top w:val="single" w:color="auto" w:sz="4" w:space="0"/>
                          <w:left w:val="single" w:color="auto" w:sz="4" w:space="0"/>
                          <w:bottom w:val="single" w:color="auto" w:sz="4" w:space="0"/>
                          <w:right w:val="nil"/>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r>
                          <w:rPr>
                            <w:color w:val="000000" w:themeColor="text1"/>
                            <w:kern w:val="21"/>
                            <w:sz w:val="18"/>
                            <w:szCs w:val="18"/>
                            <w:highlight w:val="none"/>
                            <w14:textFill>
                              <w14:solidFill>
                                <w14:schemeClr w14:val="tx1"/>
                              </w14:solidFill>
                            </w14:textFill>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3" w:hRule="atLeast"/>
                      <w:jc w:val="center"/>
                    </w:trPr>
                    <w:tc>
                      <w:tcPr>
                        <w:tcW w:w="809"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p>
                    </w:tc>
                    <w:tc>
                      <w:tcPr>
                        <w:tcW w:w="2215"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lang w:val="zh-CN"/>
                            <w14:textFill>
                              <w14:solidFill>
                                <w14:schemeClr w14:val="tx1"/>
                              </w14:solidFill>
                            </w14:textFill>
                          </w:rPr>
                        </w:pPr>
                      </w:p>
                    </w:tc>
                    <w:tc>
                      <w:tcPr>
                        <w:tcW w:w="1046"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lang w:val="zh-CN"/>
                            <w14:textFill>
                              <w14:solidFill>
                                <w14:schemeClr w14:val="tx1"/>
                              </w14:solidFill>
                            </w14:textFill>
                          </w:rPr>
                        </w:pPr>
                      </w:p>
                    </w:tc>
                    <w:tc>
                      <w:tcPr>
                        <w:tcW w:w="20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lang w:val="zh-CN"/>
                            <w14:textFill>
                              <w14:solidFill>
                                <w14:schemeClr w14:val="tx1"/>
                              </w14:solidFill>
                            </w14:textFill>
                          </w:rPr>
                        </w:pPr>
                        <w:r>
                          <w:rPr>
                            <w:color w:val="000000" w:themeColor="text1"/>
                            <w:sz w:val="18"/>
                            <w:szCs w:val="18"/>
                            <w:highlight w:val="none"/>
                            <w:lang w:val="zh-CN"/>
                            <w14:textFill>
                              <w14:solidFill>
                                <w14:schemeClr w14:val="tx1"/>
                              </w14:solidFill>
                            </w14:textFill>
                          </w:rPr>
                          <w:t>CODcr</w:t>
                        </w:r>
                      </w:p>
                    </w:tc>
                    <w:tc>
                      <w:tcPr>
                        <w:tcW w:w="1765" w:type="dxa"/>
                        <w:tcBorders>
                          <w:top w:val="single" w:color="auto" w:sz="4" w:space="0"/>
                          <w:left w:val="single" w:color="auto" w:sz="4" w:space="0"/>
                          <w:bottom w:val="single" w:color="auto" w:sz="4" w:space="0"/>
                          <w:right w:val="nil"/>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09"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p>
                    </w:tc>
                    <w:tc>
                      <w:tcPr>
                        <w:tcW w:w="22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p>
                    </w:tc>
                    <w:tc>
                      <w:tcPr>
                        <w:tcW w:w="104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p>
                    </w:tc>
                    <w:tc>
                      <w:tcPr>
                        <w:tcW w:w="20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r>
                          <w:rPr>
                            <w:color w:val="000000" w:themeColor="text1"/>
                            <w:sz w:val="18"/>
                            <w:szCs w:val="18"/>
                            <w:highlight w:val="none"/>
                            <w:lang w:val="zh-CN"/>
                            <w14:textFill>
                              <w14:solidFill>
                                <w14:schemeClr w14:val="tx1"/>
                              </w14:solidFill>
                            </w14:textFill>
                          </w:rPr>
                          <w:t>BOD</w:t>
                        </w:r>
                        <w:r>
                          <w:rPr>
                            <w:color w:val="000000" w:themeColor="text1"/>
                            <w:sz w:val="18"/>
                            <w:szCs w:val="18"/>
                            <w:highlight w:val="none"/>
                            <w:vertAlign w:val="subscript"/>
                            <w:lang w:val="zh-CN"/>
                            <w14:textFill>
                              <w14:solidFill>
                                <w14:schemeClr w14:val="tx1"/>
                              </w14:solidFill>
                            </w14:textFill>
                          </w:rPr>
                          <w:t>5</w:t>
                        </w:r>
                      </w:p>
                    </w:tc>
                    <w:tc>
                      <w:tcPr>
                        <w:tcW w:w="1765" w:type="dxa"/>
                        <w:tcBorders>
                          <w:top w:val="single" w:color="auto" w:sz="4" w:space="0"/>
                          <w:left w:val="single" w:color="auto" w:sz="4" w:space="0"/>
                          <w:bottom w:val="single" w:color="auto" w:sz="4" w:space="0"/>
                          <w:right w:val="nil"/>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809"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p>
                    </w:tc>
                    <w:tc>
                      <w:tcPr>
                        <w:tcW w:w="22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p>
                    </w:tc>
                    <w:tc>
                      <w:tcPr>
                        <w:tcW w:w="104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p>
                    </w:tc>
                    <w:tc>
                      <w:tcPr>
                        <w:tcW w:w="20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r>
                          <w:rPr>
                            <w:color w:val="000000" w:themeColor="text1"/>
                            <w:sz w:val="18"/>
                            <w:szCs w:val="18"/>
                            <w:highlight w:val="none"/>
                            <w:lang w:val="zh-CN"/>
                            <w14:textFill>
                              <w14:solidFill>
                                <w14:schemeClr w14:val="tx1"/>
                              </w14:solidFill>
                            </w14:textFill>
                          </w:rPr>
                          <w:t>SS</w:t>
                        </w:r>
                      </w:p>
                    </w:tc>
                    <w:tc>
                      <w:tcPr>
                        <w:tcW w:w="1765" w:type="dxa"/>
                        <w:tcBorders>
                          <w:top w:val="single" w:color="auto" w:sz="4" w:space="0"/>
                          <w:left w:val="single" w:color="auto" w:sz="4" w:space="0"/>
                          <w:bottom w:val="single" w:color="auto" w:sz="4" w:space="0"/>
                          <w:right w:val="nil"/>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 w:hRule="atLeast"/>
                      <w:jc w:val="center"/>
                    </w:trPr>
                    <w:tc>
                      <w:tcPr>
                        <w:tcW w:w="809"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p>
                    </w:tc>
                    <w:tc>
                      <w:tcPr>
                        <w:tcW w:w="22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p>
                    </w:tc>
                    <w:tc>
                      <w:tcPr>
                        <w:tcW w:w="104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p>
                    </w:tc>
                    <w:tc>
                      <w:tcPr>
                        <w:tcW w:w="20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r>
                          <w:rPr>
                            <w:color w:val="000000" w:themeColor="text1"/>
                            <w:sz w:val="18"/>
                            <w:szCs w:val="18"/>
                            <w:highlight w:val="none"/>
                            <w:lang w:val="zh-CN"/>
                            <w14:textFill>
                              <w14:solidFill>
                                <w14:schemeClr w14:val="tx1"/>
                              </w14:solidFill>
                            </w14:textFill>
                          </w:rPr>
                          <w:t>NH</w:t>
                        </w:r>
                        <w:r>
                          <w:rPr>
                            <w:color w:val="000000" w:themeColor="text1"/>
                            <w:sz w:val="18"/>
                            <w:szCs w:val="18"/>
                            <w:highlight w:val="none"/>
                            <w:vertAlign w:val="subscript"/>
                            <w:lang w:val="zh-CN"/>
                            <w14:textFill>
                              <w14:solidFill>
                                <w14:schemeClr w14:val="tx1"/>
                              </w14:solidFill>
                            </w14:textFill>
                          </w:rPr>
                          <w:t>3</w:t>
                        </w:r>
                        <w:r>
                          <w:rPr>
                            <w:color w:val="000000" w:themeColor="text1"/>
                            <w:sz w:val="18"/>
                            <w:szCs w:val="18"/>
                            <w:highlight w:val="none"/>
                            <w:lang w:val="zh-CN"/>
                            <w14:textFill>
                              <w14:solidFill>
                                <w14:schemeClr w14:val="tx1"/>
                              </w14:solidFill>
                            </w14:textFill>
                          </w:rPr>
                          <w:t>-N</w:t>
                        </w:r>
                      </w:p>
                    </w:tc>
                    <w:tc>
                      <w:tcPr>
                        <w:tcW w:w="1765" w:type="dxa"/>
                        <w:tcBorders>
                          <w:top w:val="single" w:color="auto" w:sz="4" w:space="0"/>
                          <w:left w:val="single" w:color="auto" w:sz="4" w:space="0"/>
                          <w:bottom w:val="single" w:color="auto" w:sz="4" w:space="0"/>
                          <w:right w:val="nil"/>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 w:hRule="atLeast"/>
                      <w:jc w:val="center"/>
                    </w:trPr>
                    <w:tc>
                      <w:tcPr>
                        <w:tcW w:w="809" w:type="dxa"/>
                        <w:vMerge w:val="continue"/>
                        <w:tcBorders>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p>
                    </w:tc>
                    <w:tc>
                      <w:tcPr>
                        <w:tcW w:w="221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p>
                    </w:tc>
                    <w:tc>
                      <w:tcPr>
                        <w:tcW w:w="1046"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p>
                    </w:tc>
                    <w:tc>
                      <w:tcPr>
                        <w:tcW w:w="2048" w:type="dxa"/>
                        <w:tcBorders>
                          <w:top w:val="single" w:color="auto" w:sz="4" w:space="0"/>
                          <w:left w:val="single" w:color="auto" w:sz="4" w:space="0"/>
                          <w:bottom w:val="single" w:color="auto" w:sz="4" w:space="0"/>
                          <w:right w:val="single" w:color="auto" w:sz="4" w:space="0"/>
                        </w:tcBorders>
                        <w:noWrap w:val="0"/>
                        <w:vAlign w:val="center"/>
                      </w:tcPr>
                      <w:p>
                        <w:pPr>
                          <w:pStyle w:val="129"/>
                          <w:adjustRightInd w:val="0"/>
                          <w:spacing w:before="0"/>
                          <w:ind w:firstLine="0" w:firstLineChars="0"/>
                          <w:rPr>
                            <w:color w:val="000000" w:themeColor="text1"/>
                            <w:sz w:val="18"/>
                            <w:szCs w:val="18"/>
                            <w:highlight w:val="none"/>
                            <w:lang w:val="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TP</w:t>
                        </w:r>
                      </w:p>
                    </w:tc>
                    <w:tc>
                      <w:tcPr>
                        <w:tcW w:w="1765" w:type="dxa"/>
                        <w:tcBorders>
                          <w:top w:val="single" w:color="auto" w:sz="4" w:space="0"/>
                          <w:left w:val="single" w:color="auto" w:sz="4" w:space="0"/>
                          <w:bottom w:val="single" w:color="auto" w:sz="4" w:space="0"/>
                          <w:right w:val="nil"/>
                        </w:tcBorders>
                        <w:noWrap w:val="0"/>
                        <w:vAlign w:val="center"/>
                      </w:tcPr>
                      <w:p>
                        <w:pPr>
                          <w:pStyle w:val="129"/>
                          <w:adjustRightInd w:val="0"/>
                          <w:spacing w:before="0"/>
                          <w:ind w:firstLine="0" w:firstLineChars="0"/>
                          <w:rPr>
                            <w:color w:val="000000" w:themeColor="text1"/>
                            <w:sz w:val="18"/>
                            <w:szCs w:val="18"/>
                            <w:highlight w:val="none"/>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6" w:hRule="atLeast"/>
                      <w:jc w:val="center"/>
                    </w:trPr>
                    <w:tc>
                      <w:tcPr>
                        <w:tcW w:w="809" w:type="dxa"/>
                        <w:vMerge w:val="continue"/>
                        <w:tcBorders>
                          <w:left w:val="nil"/>
                          <w:bottom w:val="single" w:color="auto" w:sz="12"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p>
                    </w:tc>
                    <w:tc>
                      <w:tcPr>
                        <w:tcW w:w="2215" w:type="dxa"/>
                        <w:vMerge w:val="continue"/>
                        <w:tcBorders>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p>
                    </w:tc>
                    <w:tc>
                      <w:tcPr>
                        <w:tcW w:w="1046" w:type="dxa"/>
                        <w:vMerge w:val="continue"/>
                        <w:tcBorders>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0" w:lineRule="atLeast"/>
                          <w:jc w:val="center"/>
                          <w:rPr>
                            <w:color w:val="000000" w:themeColor="text1"/>
                            <w:sz w:val="18"/>
                            <w:szCs w:val="18"/>
                            <w:highlight w:val="none"/>
                            <w14:textFill>
                              <w14:solidFill>
                                <w14:schemeClr w14:val="tx1"/>
                              </w14:solidFill>
                            </w14:textFill>
                          </w:rPr>
                        </w:pPr>
                      </w:p>
                    </w:tc>
                    <w:tc>
                      <w:tcPr>
                        <w:tcW w:w="2048" w:type="dxa"/>
                        <w:tcBorders>
                          <w:top w:val="single" w:color="auto" w:sz="4" w:space="0"/>
                          <w:left w:val="single" w:color="auto" w:sz="4" w:space="0"/>
                          <w:bottom w:val="single" w:color="auto" w:sz="12" w:space="0"/>
                          <w:right w:val="single" w:color="auto" w:sz="4" w:space="0"/>
                        </w:tcBorders>
                        <w:noWrap w:val="0"/>
                        <w:vAlign w:val="center"/>
                      </w:tcPr>
                      <w:p>
                        <w:pPr>
                          <w:pStyle w:val="129"/>
                          <w:adjustRightInd w:val="0"/>
                          <w:spacing w:before="0"/>
                          <w:ind w:firstLine="0" w:firstLineChars="0"/>
                          <w:rPr>
                            <w:color w:val="000000" w:themeColor="text1"/>
                            <w:sz w:val="18"/>
                            <w:szCs w:val="18"/>
                            <w:highlight w:val="none"/>
                            <w:lang w:val="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TN</w:t>
                        </w:r>
                      </w:p>
                    </w:tc>
                    <w:tc>
                      <w:tcPr>
                        <w:tcW w:w="1765" w:type="dxa"/>
                        <w:tcBorders>
                          <w:top w:val="single" w:color="auto" w:sz="4" w:space="0"/>
                          <w:left w:val="single" w:color="auto" w:sz="4" w:space="0"/>
                          <w:bottom w:val="single" w:color="auto" w:sz="12" w:space="0"/>
                          <w:right w:val="nil"/>
                        </w:tcBorders>
                        <w:noWrap w:val="0"/>
                        <w:vAlign w:val="center"/>
                      </w:tcPr>
                      <w:p>
                        <w:pPr>
                          <w:pStyle w:val="129"/>
                          <w:adjustRightInd w:val="0"/>
                          <w:spacing w:before="0"/>
                          <w:ind w:firstLine="0" w:firstLineChars="0"/>
                          <w:rPr>
                            <w:color w:val="000000" w:themeColor="text1"/>
                            <w:sz w:val="18"/>
                            <w:szCs w:val="18"/>
                            <w:highlight w:val="none"/>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15</w:t>
                        </w:r>
                      </w:p>
                    </w:tc>
                  </w:tr>
                </w:tbl>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w:t>
                  </w:r>
                  <w:r>
                    <w:rPr>
                      <w:color w:val="000000" w:themeColor="text1"/>
                      <w:sz w:val="24"/>
                      <w:szCs w:val="24"/>
                      <w14:textFill>
                        <w14:solidFill>
                          <w14:schemeClr w14:val="tx1"/>
                        </w14:solidFill>
                      </w14:textFill>
                    </w:rPr>
                    <w:t>厂界噪声：</w:t>
                  </w:r>
                  <w:r>
                    <w:rPr>
                      <w:rFonts w:hint="default"/>
                      <w:color w:val="000000" w:themeColor="text1"/>
                      <w:sz w:val="24"/>
                      <w:szCs w:val="24"/>
                      <w14:textFill>
                        <w14:solidFill>
                          <w14:schemeClr w14:val="tx1"/>
                        </w14:solidFill>
                      </w14:textFill>
                    </w:rPr>
                    <w:t>项目运营期厂界噪声执行《工业企业厂界环境噪声排放标准》（GB12348-2008）中</w:t>
                  </w:r>
                  <w:r>
                    <w:rPr>
                      <w:rFonts w:hint="eastAsia"/>
                      <w:color w:val="000000" w:themeColor="text1"/>
                      <w:sz w:val="24"/>
                      <w:szCs w:val="24"/>
                      <w:lang w:val="en-US" w:eastAsia="zh-CN"/>
                      <w14:textFill>
                        <w14:solidFill>
                          <w14:schemeClr w14:val="tx1"/>
                        </w14:solidFill>
                      </w14:textFill>
                    </w:rPr>
                    <w:t>2</w:t>
                  </w:r>
                  <w:r>
                    <w:rPr>
                      <w:rFonts w:hint="default"/>
                      <w:color w:val="000000" w:themeColor="text1"/>
                      <w:sz w:val="24"/>
                      <w:szCs w:val="24"/>
                      <w14:textFill>
                        <w14:solidFill>
                          <w14:schemeClr w14:val="tx1"/>
                        </w14:solidFill>
                      </w14:textFill>
                    </w:rPr>
                    <w:t>类区标准</w:t>
                  </w:r>
                  <w:r>
                    <w:rPr>
                      <w:rFonts w:hint="eastAsia"/>
                      <w:color w:val="000000" w:themeColor="text1"/>
                      <w:sz w:val="24"/>
                      <w:szCs w:val="24"/>
                      <w:lang w:eastAsia="zh-CN"/>
                      <w14:textFill>
                        <w14:solidFill>
                          <w14:schemeClr w14:val="tx1"/>
                        </w14:solidFill>
                      </w14:textFill>
                    </w:rPr>
                    <w:t>，</w:t>
                  </w:r>
                  <w:r>
                    <w:rPr>
                      <w:color w:val="000000" w:themeColor="text1"/>
                      <w:sz w:val="24"/>
                      <w:szCs w:val="24"/>
                      <w14:textFill>
                        <w14:solidFill>
                          <w14:schemeClr w14:val="tx1"/>
                        </w14:solidFill>
                      </w14:textFill>
                    </w:rPr>
                    <w:t>具体标准值见</w:t>
                  </w:r>
                  <w:r>
                    <w:rPr>
                      <w:rFonts w:hint="eastAsia"/>
                      <w:color w:val="000000" w:themeColor="text1"/>
                      <w:sz w:val="24"/>
                      <w:szCs w:val="24"/>
                      <w14:textFill>
                        <w14:solidFill>
                          <w14:schemeClr w14:val="tx1"/>
                        </w14:solidFill>
                      </w14:textFill>
                    </w:rPr>
                    <w:t>下表</w:t>
                  </w:r>
                  <w:r>
                    <w:rPr>
                      <w:rFonts w:hint="default"/>
                      <w:color w:val="000000" w:themeColor="text1"/>
                      <w:sz w:val="24"/>
                      <w:szCs w:val="24"/>
                      <w:lang w:eastAsia="zh-CN"/>
                      <w14:textFill>
                        <w14:solidFill>
                          <w14:schemeClr w14:val="tx1"/>
                        </w14:solidFill>
                      </w14:textFill>
                    </w:rPr>
                    <w:t>。</w:t>
                  </w:r>
                </w:p>
                <w:p>
                  <w:pPr>
                    <w:pStyle w:val="110"/>
                    <w:numPr>
                      <w:ilvl w:val="0"/>
                      <w:numId w:val="0"/>
                    </w:numPr>
                    <w:snapToGrid w:val="0"/>
                    <w:spacing w:before="0" w:beforeLines="0"/>
                    <w:rPr>
                      <w:color w:val="000000" w:themeColor="text1"/>
                      <w14:textFill>
                        <w14:solidFill>
                          <w14:schemeClr w14:val="tx1"/>
                        </w14:solidFill>
                      </w14:textFill>
                    </w:rPr>
                  </w:pPr>
                  <w:r>
                    <w:rPr>
                      <w:bCs w:val="0"/>
                      <w:color w:val="000000" w:themeColor="text1"/>
                      <w14:textFill>
                        <w14:solidFill>
                          <w14:schemeClr w14:val="tx1"/>
                        </w14:solidFill>
                      </w14:textFill>
                    </w:rPr>
                    <w:t>表1-</w:t>
                  </w:r>
                  <w:r>
                    <w:rPr>
                      <w:rFonts w:hint="eastAsia"/>
                      <w:bCs w:val="0"/>
                      <w:color w:val="000000" w:themeColor="text1"/>
                      <w:lang w:val="en-US" w:eastAsia="zh-CN"/>
                      <w14:textFill>
                        <w14:solidFill>
                          <w14:schemeClr w14:val="tx1"/>
                        </w14:solidFill>
                      </w14:textFill>
                    </w:rPr>
                    <w:t>6</w:t>
                  </w:r>
                  <w:r>
                    <w:rPr>
                      <w:bCs w:val="0"/>
                      <w:color w:val="000000" w:themeColor="text1"/>
                      <w14:textFill>
                        <w14:solidFill>
                          <w14:schemeClr w14:val="tx1"/>
                        </w14:solidFill>
                      </w14:textFill>
                    </w:rPr>
                    <w:t xml:space="preserve"> </w:t>
                  </w:r>
                  <w:r>
                    <w:rPr>
                      <w:rFonts w:hint="default"/>
                      <w:bCs w:val="0"/>
                      <w:color w:val="000000" w:themeColor="text1"/>
                      <w14:textFill>
                        <w14:solidFill>
                          <w14:schemeClr w14:val="tx1"/>
                        </w14:solidFill>
                      </w14:textFill>
                    </w:rPr>
                    <w:t>工业企业厂界环境噪声排放标准表单位dB(A)</w:t>
                  </w:r>
                </w:p>
                <w:tbl>
                  <w:tblPr>
                    <w:tblStyle w:val="29"/>
                    <w:tblW w:w="5000" w:type="pct"/>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84"/>
                    <w:gridCol w:w="875"/>
                    <w:gridCol w:w="1070"/>
                    <w:gridCol w:w="818"/>
                    <w:gridCol w:w="1877"/>
                    <w:gridCol w:w="2659"/>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blHeader/>
                      <w:jc w:val="center"/>
                    </w:trPr>
                    <w:tc>
                      <w:tcPr>
                        <w:tcW w:w="428"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t>序号</w:t>
                        </w:r>
                      </w:p>
                    </w:tc>
                    <w:tc>
                      <w:tcPr>
                        <w:tcW w:w="548"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t>时期</w:t>
                        </w:r>
                      </w:p>
                    </w:tc>
                    <w:tc>
                      <w:tcPr>
                        <w:tcW w:w="670"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t>位置</w:t>
                        </w:r>
                      </w:p>
                    </w:tc>
                    <w:tc>
                      <w:tcPr>
                        <w:tcW w:w="512"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t>时段</w:t>
                        </w:r>
                      </w:p>
                    </w:tc>
                    <w:tc>
                      <w:tcPr>
                        <w:tcW w:w="1175"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t>标准限值dB（A）</w:t>
                        </w:r>
                      </w:p>
                    </w:tc>
                    <w:tc>
                      <w:tcPr>
                        <w:tcW w:w="1664"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t>执行标准</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8"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Cs/>
                            <w:color w:val="000000" w:themeColor="text1"/>
                            <w:kern w:val="0"/>
                            <w:sz w:val="21"/>
                            <w:szCs w:val="21"/>
                            <w:highlight w:val="none"/>
                            <w:shd w:val="clear" w:color="auto" w:fill="auto"/>
                            <w:lang w:eastAsia="zh-CN"/>
                            <w14:textFill>
                              <w14:solidFill>
                                <w14:schemeClr w14:val="tx1"/>
                              </w14:solidFill>
                            </w14:textFill>
                          </w:rPr>
                        </w:pPr>
                        <w:r>
                          <w:rPr>
                            <w:rFonts w:hint="default" w:ascii="Times New Roman" w:hAnsi="Times New Roman" w:cs="Times New Roman"/>
                            <w:bCs/>
                            <w:color w:val="000000" w:themeColor="text1"/>
                            <w:kern w:val="0"/>
                            <w:sz w:val="21"/>
                            <w:szCs w:val="21"/>
                            <w:highlight w:val="none"/>
                            <w:shd w:val="clear" w:color="auto" w:fill="auto"/>
                            <w:lang w:val="en-US" w:eastAsia="zh-CN"/>
                            <w14:textFill>
                              <w14:solidFill>
                                <w14:schemeClr w14:val="tx1"/>
                              </w14:solidFill>
                            </w14:textFill>
                          </w:rPr>
                          <w:t>1</w:t>
                        </w:r>
                      </w:p>
                    </w:tc>
                    <w:tc>
                      <w:tcPr>
                        <w:tcW w:w="548"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t>运营期</w:t>
                        </w:r>
                      </w:p>
                    </w:tc>
                    <w:tc>
                      <w:tcPr>
                        <w:tcW w:w="67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t>厂界</w:t>
                        </w:r>
                      </w:p>
                    </w:tc>
                    <w:tc>
                      <w:tcPr>
                        <w:tcW w:w="512"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t>昼间</w:t>
                        </w:r>
                      </w:p>
                    </w:tc>
                    <w:tc>
                      <w:tcPr>
                        <w:tcW w:w="1175"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Cs/>
                            <w:color w:val="000000" w:themeColor="text1"/>
                            <w:kern w:val="0"/>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t>6</w:t>
                        </w:r>
                        <w:r>
                          <w:rPr>
                            <w:rFonts w:hint="eastAsia" w:cs="Times New Roman"/>
                            <w:bCs/>
                            <w:color w:val="000000" w:themeColor="text1"/>
                            <w:kern w:val="0"/>
                            <w:sz w:val="21"/>
                            <w:szCs w:val="21"/>
                            <w:highlight w:val="none"/>
                            <w:shd w:val="clear" w:color="auto" w:fill="auto"/>
                            <w:lang w:val="en-US" w:eastAsia="zh-CN"/>
                            <w14:textFill>
                              <w14:solidFill>
                                <w14:schemeClr w14:val="tx1"/>
                              </w14:solidFill>
                            </w14:textFill>
                          </w:rPr>
                          <w:t>0</w:t>
                        </w:r>
                      </w:p>
                    </w:tc>
                    <w:tc>
                      <w:tcPr>
                        <w:tcW w:w="1664"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t>GB12348-2008中</w:t>
                        </w:r>
                        <w:r>
                          <w:rPr>
                            <w:rFonts w:hint="eastAsia" w:cs="Times New Roman"/>
                            <w:bCs/>
                            <w:color w:val="000000" w:themeColor="text1"/>
                            <w:kern w:val="0"/>
                            <w:sz w:val="21"/>
                            <w:szCs w:val="21"/>
                            <w:highlight w:val="none"/>
                            <w:shd w:val="clear" w:color="auto" w:fill="auto"/>
                            <w:lang w:val="en-US" w:eastAsia="zh-CN"/>
                            <w14:textFill>
                              <w14:solidFill>
                                <w14:schemeClr w14:val="tx1"/>
                              </w14:solidFill>
                            </w14:textFill>
                          </w:rPr>
                          <w:t>2</w:t>
                        </w:r>
                        <w:r>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t>类标准</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p>
                    </w:tc>
                    <w:tc>
                      <w:tcPr>
                        <w:tcW w:w="54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p>
                    </w:tc>
                    <w:tc>
                      <w:tcPr>
                        <w:tcW w:w="67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p>
                    </w:tc>
                    <w:tc>
                      <w:tcPr>
                        <w:tcW w:w="512"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t>夜间</w:t>
                        </w:r>
                      </w:p>
                    </w:tc>
                    <w:tc>
                      <w:tcPr>
                        <w:tcW w:w="1175"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Cs/>
                            <w:color w:val="000000" w:themeColor="text1"/>
                            <w:kern w:val="0"/>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t>5</w:t>
                        </w:r>
                        <w:r>
                          <w:rPr>
                            <w:rFonts w:hint="eastAsia" w:cs="Times New Roman"/>
                            <w:bCs/>
                            <w:color w:val="000000" w:themeColor="text1"/>
                            <w:kern w:val="0"/>
                            <w:sz w:val="21"/>
                            <w:szCs w:val="21"/>
                            <w:highlight w:val="none"/>
                            <w:shd w:val="clear" w:color="auto" w:fill="auto"/>
                            <w:lang w:val="en-US" w:eastAsia="zh-CN"/>
                            <w14:textFill>
                              <w14:solidFill>
                                <w14:schemeClr w14:val="tx1"/>
                              </w14:solidFill>
                            </w14:textFill>
                          </w:rPr>
                          <w:t>0</w:t>
                        </w:r>
                      </w:p>
                    </w:tc>
                    <w:tc>
                      <w:tcPr>
                        <w:tcW w:w="166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固体废物：</w:t>
                  </w:r>
                  <w:r>
                    <w:rPr>
                      <w:rFonts w:hint="eastAsia"/>
                      <w:color w:val="000000" w:themeColor="text1"/>
                      <w:kern w:val="18"/>
                      <w:sz w:val="24"/>
                      <w:szCs w:val="20"/>
                      <w:highlight w:val="none"/>
                      <w:shd w:val="clear" w:color="auto" w:fill="auto"/>
                      <w14:textFill>
                        <w14:solidFill>
                          <w14:schemeClr w14:val="tx1"/>
                        </w14:solidFill>
                      </w14:textFill>
                    </w:rPr>
                    <w:t>本项目运营期危险废物贮存均执行《危险废物贮存污染控制标准》（GB18597-20</w:t>
                  </w:r>
                  <w:r>
                    <w:rPr>
                      <w:rFonts w:hint="eastAsia"/>
                      <w:color w:val="000000" w:themeColor="text1"/>
                      <w:kern w:val="18"/>
                      <w:sz w:val="24"/>
                      <w:szCs w:val="20"/>
                      <w:highlight w:val="none"/>
                      <w:shd w:val="clear" w:color="auto" w:fill="auto"/>
                      <w:lang w:val="en-US" w:eastAsia="zh-CN"/>
                      <w14:textFill>
                        <w14:solidFill>
                          <w14:schemeClr w14:val="tx1"/>
                        </w14:solidFill>
                      </w14:textFill>
                    </w:rPr>
                    <w:t>23</w:t>
                  </w:r>
                  <w:r>
                    <w:rPr>
                      <w:rFonts w:hint="eastAsia"/>
                      <w:color w:val="000000" w:themeColor="text1"/>
                      <w:kern w:val="18"/>
                      <w:sz w:val="24"/>
                      <w:szCs w:val="20"/>
                      <w:highlight w:val="none"/>
                      <w:shd w:val="clear" w:color="auto" w:fill="auto"/>
                      <w14:textFill>
                        <w14:solidFill>
                          <w14:schemeClr w14:val="tx1"/>
                        </w14:solidFill>
                      </w14:textFill>
                    </w:rPr>
                    <w:t>），一般工业固体废物贮存过程应满足相应防扬尘、防雨淋、防渗漏等环境保护要求。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（5）总量控制指标</w:t>
                  </w:r>
                </w:p>
                <w:p>
                  <w:pPr>
                    <w:snapToGrid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由工程分析可知，项目综合废水排放量为1549.56m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/a，CODcr排放浓度为212.86mg/L，NH</w:t>
                  </w:r>
                  <w:r>
                    <w:rPr>
                      <w:color w:val="000000" w:themeColor="text1"/>
                      <w:sz w:val="24"/>
                      <w:highlight w:val="none"/>
                      <w:vertAlign w:val="subscript"/>
                      <w14:textFill>
                        <w14:solidFill>
                          <w14:schemeClr w14:val="tx1"/>
                        </w14:solidFill>
                      </w14:textFill>
                    </w:rPr>
                    <w:t>3</w:t>
                  </w:r>
                  <w:r>
                    <w:rPr>
                      <w:color w:val="000000" w:themeColor="text1"/>
                      <w:sz w:val="24"/>
                      <w:highlight w:val="none"/>
                      <w14:textFill>
                        <w14:solidFill>
                          <w14:schemeClr w14:val="tx1"/>
                        </w14:solidFill>
                      </w14:textFill>
                    </w:rPr>
                    <w:t>-N排放浓度为21.97mg/L</w:t>
                  </w:r>
                  <w:r>
                    <w:rPr>
                      <w:rFonts w:hint="eastAsia"/>
                      <w:color w:val="000000" w:themeColor="text1"/>
                      <w:sz w:val="24"/>
                      <w:highlight w:val="none"/>
                      <w14:textFill>
                        <w14:solidFill>
                          <w14:schemeClr w14:val="tx1"/>
                        </w14:solidFill>
                      </w14:textFill>
                    </w:rPr>
                    <w:t>，VOCs（以非甲烷总烃表征）有组织排放量为</w:t>
                  </w:r>
                  <w:r>
                    <w:rPr>
                      <w:rFonts w:hint="eastAsia"/>
                      <w:color w:val="000000" w:themeColor="text1"/>
                      <w:sz w:val="24"/>
                      <w:highlight w:val="none"/>
                      <w:lang w:val="en-US" w:eastAsia="zh-CN"/>
                      <w14:textFill>
                        <w14:solidFill>
                          <w14:schemeClr w14:val="tx1"/>
                        </w14:solidFill>
                      </w14:textFill>
                    </w:rPr>
                    <w:t>0.607</w:t>
                  </w:r>
                  <w:r>
                    <w:rPr>
                      <w:rFonts w:hint="eastAsia"/>
                      <w:color w:val="000000" w:themeColor="text1"/>
                      <w:sz w:val="24"/>
                      <w:highlight w:val="none"/>
                      <w14:textFill>
                        <w14:solidFill>
                          <w14:schemeClr w14:val="tx1"/>
                        </w14:solidFill>
                      </w14:textFill>
                    </w:rPr>
                    <w:t>t/a</w:t>
                  </w:r>
                  <w:r>
                    <w:rPr>
                      <w:color w:val="000000" w:themeColor="text1"/>
                      <w:sz w:val="24"/>
                      <w:highlight w:val="none"/>
                      <w14:textFill>
                        <w14:solidFill>
                          <w14:schemeClr w14:val="tx1"/>
                        </w14:solidFill>
                      </w14:textFill>
                    </w:rPr>
                    <w:t>。</w:t>
                  </w:r>
                </w:p>
                <w:p>
                  <w:pPr>
                    <w:snapToGrid w:val="0"/>
                    <w:spacing w:line="360" w:lineRule="auto"/>
                    <w:ind w:firstLine="480" w:firstLineChars="200"/>
                    <w:rPr>
                      <w:rFonts w:hint="eastAsia"/>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1、CODcr考核指标为：1549.56m³/a×193.6mg/L×10</w:t>
                  </w:r>
                  <w:r>
                    <w:rPr>
                      <w:color w:val="000000" w:themeColor="text1"/>
                      <w:sz w:val="24"/>
                      <w:highlight w:val="none"/>
                      <w:vertAlign w:val="superscript"/>
                      <w14:textFill>
                        <w14:solidFill>
                          <w14:schemeClr w14:val="tx1"/>
                        </w14:solidFill>
                      </w14:textFill>
                    </w:rPr>
                    <w:t>-6</w:t>
                  </w:r>
                  <w:r>
                    <w:rPr>
                      <w:color w:val="000000" w:themeColor="text1"/>
                      <w:sz w:val="24"/>
                      <w:highlight w:val="none"/>
                      <w14:textFill>
                        <w14:solidFill>
                          <w14:schemeClr w14:val="tx1"/>
                        </w14:solidFill>
                      </w14:textFill>
                    </w:rPr>
                    <w:t>=0.3t/a</w:t>
                  </w:r>
                  <w:r>
                    <w:rPr>
                      <w:rFonts w:hint="eastAsia"/>
                      <w:color w:val="000000" w:themeColor="text1"/>
                      <w:sz w:val="24"/>
                      <w:highlight w:val="none"/>
                      <w14:textFill>
                        <w14:solidFill>
                          <w14:schemeClr w14:val="tx1"/>
                        </w14:solidFill>
                      </w14:textFill>
                    </w:rPr>
                    <w:t>；</w:t>
                  </w:r>
                </w:p>
                <w:p>
                  <w:pPr>
                    <w:snapToGrid w:val="0"/>
                    <w:spacing w:line="360" w:lineRule="auto"/>
                    <w:ind w:firstLine="480" w:firstLineChars="200"/>
                    <w:rPr>
                      <w:rFonts w:hint="eastAsia"/>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CODcr控制指标为：1549.56m³/a×50mg/L×10</w:t>
                  </w:r>
                  <w:r>
                    <w:rPr>
                      <w:color w:val="000000" w:themeColor="text1"/>
                      <w:sz w:val="24"/>
                      <w:highlight w:val="none"/>
                      <w:vertAlign w:val="superscript"/>
                      <w14:textFill>
                        <w14:solidFill>
                          <w14:schemeClr w14:val="tx1"/>
                        </w14:solidFill>
                      </w14:textFill>
                    </w:rPr>
                    <w:t>-6</w:t>
                  </w:r>
                  <w:r>
                    <w:rPr>
                      <w:color w:val="000000" w:themeColor="text1"/>
                      <w:sz w:val="24"/>
                      <w:highlight w:val="none"/>
                      <w14:textFill>
                        <w14:solidFill>
                          <w14:schemeClr w14:val="tx1"/>
                        </w14:solidFill>
                      </w14:textFill>
                    </w:rPr>
                    <w:t>=0.0</w:t>
                  </w:r>
                  <w:r>
                    <w:rPr>
                      <w:rFonts w:hint="eastAsia"/>
                      <w:color w:val="000000" w:themeColor="text1"/>
                      <w:sz w:val="24"/>
                      <w:highlight w:val="none"/>
                      <w:lang w:val="en-US" w:eastAsia="zh-CN"/>
                      <w14:textFill>
                        <w14:solidFill>
                          <w14:schemeClr w14:val="tx1"/>
                        </w14:solidFill>
                      </w14:textFill>
                    </w:rPr>
                    <w:t>8</w:t>
                  </w:r>
                  <w:r>
                    <w:rPr>
                      <w:color w:val="000000" w:themeColor="text1"/>
                      <w:sz w:val="24"/>
                      <w:highlight w:val="none"/>
                      <w14:textFill>
                        <w14:solidFill>
                          <w14:schemeClr w14:val="tx1"/>
                        </w14:solidFill>
                      </w14:textFill>
                    </w:rPr>
                    <w:t>t/a</w:t>
                  </w:r>
                  <w:r>
                    <w:rPr>
                      <w:rFonts w:hint="eastAsia"/>
                      <w:color w:val="000000" w:themeColor="text1"/>
                      <w:sz w:val="24"/>
                      <w:highlight w:val="none"/>
                      <w14:textFill>
                        <w14:solidFill>
                          <w14:schemeClr w14:val="tx1"/>
                        </w14:solidFill>
                      </w14:textFill>
                    </w:rPr>
                    <w:t>。</w:t>
                  </w:r>
                </w:p>
                <w:p>
                  <w:pPr>
                    <w:snapToGrid w:val="0"/>
                    <w:spacing w:line="360" w:lineRule="auto"/>
                    <w:ind w:firstLine="480" w:firstLineChars="200"/>
                    <w:rPr>
                      <w:rFonts w:hint="eastAsia"/>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2、NH</w:t>
                  </w:r>
                  <w:r>
                    <w:rPr>
                      <w:color w:val="000000" w:themeColor="text1"/>
                      <w:sz w:val="24"/>
                      <w:highlight w:val="none"/>
                      <w:vertAlign w:val="subscript"/>
                      <w14:textFill>
                        <w14:solidFill>
                          <w14:schemeClr w14:val="tx1"/>
                        </w14:solidFill>
                      </w14:textFill>
                    </w:rPr>
                    <w:t>3</w:t>
                  </w:r>
                  <w:r>
                    <w:rPr>
                      <w:color w:val="000000" w:themeColor="text1"/>
                      <w:sz w:val="24"/>
                      <w:highlight w:val="none"/>
                      <w14:textFill>
                        <w14:solidFill>
                          <w14:schemeClr w14:val="tx1"/>
                        </w14:solidFill>
                      </w14:textFill>
                    </w:rPr>
                    <w:t>-N考核指标为：1549.56m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/a×16.78mg/L×10</w:t>
                  </w:r>
                  <w:r>
                    <w:rPr>
                      <w:color w:val="000000" w:themeColor="text1"/>
                      <w:sz w:val="24"/>
                      <w:highlight w:val="none"/>
                      <w:vertAlign w:val="superscript"/>
                      <w14:textFill>
                        <w14:solidFill>
                          <w14:schemeClr w14:val="tx1"/>
                        </w14:solidFill>
                      </w14:textFill>
                    </w:rPr>
                    <w:t>-6</w:t>
                  </w:r>
                  <w:r>
                    <w:rPr>
                      <w:color w:val="000000" w:themeColor="text1"/>
                      <w:sz w:val="24"/>
                      <w:highlight w:val="none"/>
                      <w14:textFill>
                        <w14:solidFill>
                          <w14:schemeClr w14:val="tx1"/>
                        </w14:solidFill>
                      </w14:textFill>
                    </w:rPr>
                    <w:t>=0.026t/a</w:t>
                  </w:r>
                  <w:r>
                    <w:rPr>
                      <w:rFonts w:hint="eastAsia"/>
                      <w:color w:val="000000" w:themeColor="text1"/>
                      <w:sz w:val="24"/>
                      <w:highlight w:val="none"/>
                      <w14:textFill>
                        <w14:solidFill>
                          <w14:schemeClr w14:val="tx1"/>
                        </w14:solidFill>
                      </w14:textFill>
                    </w:rPr>
                    <w:t>；</w:t>
                  </w:r>
                </w:p>
                <w:p>
                  <w:pPr>
                    <w:snapToGrid w:val="0"/>
                    <w:spacing w:line="360" w:lineRule="auto"/>
                    <w:ind w:firstLine="480" w:firstLineChars="200"/>
                    <w:rPr>
                      <w:rFonts w:hint="eastAsia"/>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NH</w:t>
                  </w:r>
                  <w:r>
                    <w:rPr>
                      <w:color w:val="000000" w:themeColor="text1"/>
                      <w:sz w:val="24"/>
                      <w:highlight w:val="none"/>
                      <w:vertAlign w:val="subscript"/>
                      <w14:textFill>
                        <w14:solidFill>
                          <w14:schemeClr w14:val="tx1"/>
                        </w14:solidFill>
                      </w14:textFill>
                    </w:rPr>
                    <w:t>3</w:t>
                  </w:r>
                  <w:r>
                    <w:rPr>
                      <w:color w:val="000000" w:themeColor="text1"/>
                      <w:sz w:val="24"/>
                      <w:highlight w:val="none"/>
                      <w14:textFill>
                        <w14:solidFill>
                          <w14:schemeClr w14:val="tx1"/>
                        </w14:solidFill>
                      </w14:textFill>
                    </w:rPr>
                    <w:t>-N控制指标为:1549.56m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/a×5mg/L×10</w:t>
                  </w:r>
                  <w:r>
                    <w:rPr>
                      <w:color w:val="000000" w:themeColor="text1"/>
                      <w:sz w:val="24"/>
                      <w:highlight w:val="none"/>
                      <w:vertAlign w:val="superscript"/>
                      <w14:textFill>
                        <w14:solidFill>
                          <w14:schemeClr w14:val="tx1"/>
                        </w14:solidFill>
                      </w14:textFill>
                    </w:rPr>
                    <w:t>-6</w:t>
                  </w:r>
                  <w:r>
                    <w:rPr>
                      <w:color w:val="000000" w:themeColor="text1"/>
                      <w:sz w:val="24"/>
                      <w:highlight w:val="none"/>
                      <w14:textFill>
                        <w14:solidFill>
                          <w14:schemeClr w14:val="tx1"/>
                        </w14:solidFill>
                      </w14:textFill>
                    </w:rPr>
                    <w:t>=0.0</w:t>
                  </w:r>
                  <w:r>
                    <w:rPr>
                      <w:rFonts w:hint="eastAsia"/>
                      <w:color w:val="000000" w:themeColor="text1"/>
                      <w:sz w:val="24"/>
                      <w:highlight w:val="none"/>
                      <w:lang w:val="en-US" w:eastAsia="zh-CN"/>
                      <w14:textFill>
                        <w14:solidFill>
                          <w14:schemeClr w14:val="tx1"/>
                        </w14:solidFill>
                      </w14:textFill>
                    </w:rPr>
                    <w:t>1</w:t>
                  </w:r>
                  <w:r>
                    <w:rPr>
                      <w:color w:val="000000" w:themeColor="text1"/>
                      <w:sz w:val="24"/>
                      <w:highlight w:val="none"/>
                      <w14:textFill>
                        <w14:solidFill>
                          <w14:schemeClr w14:val="tx1"/>
                        </w14:solidFill>
                      </w14:textFill>
                    </w:rPr>
                    <w:t>t/a</w:t>
                  </w:r>
                  <w:r>
                    <w:rPr>
                      <w:rFonts w:hint="eastAsia"/>
                      <w:color w:val="000000" w:themeColor="text1"/>
                      <w:sz w:val="24"/>
                      <w:highlight w:val="none"/>
                      <w14:textFill>
                        <w14:solidFill>
                          <w14:schemeClr w14:val="tx1"/>
                        </w14:solidFill>
                      </w14:textFill>
                    </w:rPr>
                    <w:t>。</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highlight w:val="none"/>
                      <w14:textFill>
                        <w14:solidFill>
                          <w14:schemeClr w14:val="tx1"/>
                        </w14:solidFill>
                      </w14:textFill>
                    </w:rPr>
                    <w:t>3、VOCs控制指标为：0</w:t>
                  </w:r>
                  <w:r>
                    <w:rPr>
                      <w:rFonts w:hint="eastAsia"/>
                      <w:color w:val="000000" w:themeColor="text1"/>
                      <w:sz w:val="24"/>
                      <w:highlight w:val="none"/>
                      <w:lang w:val="en-US" w:eastAsia="zh-CN"/>
                      <w14:textFill>
                        <w14:solidFill>
                          <w14:schemeClr w14:val="tx1"/>
                        </w14:solidFill>
                      </w14:textFill>
                    </w:rPr>
                    <w:t>.613</w:t>
                  </w:r>
                  <w:r>
                    <w:rPr>
                      <w:rFonts w:hint="eastAsia"/>
                      <w:color w:val="000000" w:themeColor="text1"/>
                      <w:sz w:val="24"/>
                      <w:highlight w:val="none"/>
                      <w14:textFill>
                        <w14:solidFill>
                          <w14:schemeClr w14:val="tx1"/>
                        </w14:solidFill>
                      </w14:textFill>
                    </w:rPr>
                    <w:t>t/a。</w:t>
                  </w:r>
                  <w:r>
                    <w:rPr>
                      <w:rFonts w:hint="eastAsia" w:hAnsi="宋体"/>
                      <w:color w:val="000000" w:themeColor="text1"/>
                      <w:sz w:val="24"/>
                      <w:lang w:eastAsia="zh-CN"/>
                      <w14:textFill>
                        <w14:solidFill>
                          <w14:schemeClr w14:val="tx1"/>
                        </w14:solidFill>
                      </w14:textFill>
                    </w:rPr>
                    <w:t>严格执行生态环境主管部门下达的总量控制要求。</w:t>
                  </w:r>
                </w:p>
              </w:tc>
            </w:tr>
          </w:tbl>
          <w:p>
            <w:pPr>
              <w:spacing w:line="360" w:lineRule="auto"/>
              <w:ind w:firstLine="480" w:firstLineChars="200"/>
              <w:jc w:val="left"/>
              <w:rPr>
                <w:color w:val="000000" w:themeColor="text1"/>
                <w:kern w:val="0"/>
                <w:sz w:val="24"/>
                <w:szCs w:val="24"/>
                <w14:textFill>
                  <w14:solidFill>
                    <w14:schemeClr w14:val="tx1"/>
                  </w14:solidFill>
                </w14:textFill>
              </w:rPr>
            </w:pPr>
          </w:p>
        </w:tc>
      </w:tr>
    </w:tbl>
    <w:p>
      <w:pPr>
        <w:bidi w:val="0"/>
        <w:rPr>
          <w:color w:val="000000" w:themeColor="text1"/>
          <w14:textFill>
            <w14:solidFill>
              <w14:schemeClr w14:val="tx1"/>
            </w14:solidFill>
          </w14:textFill>
        </w:rPr>
      </w:pPr>
      <w:bookmarkStart w:id="1" w:name="_Toc523906056"/>
    </w:p>
    <w:bookmarkEnd w:id="1"/>
    <w:p>
      <w:pPr>
        <w:bidi w:val="0"/>
        <w:rPr>
          <w:rFonts w:hint="eastAsia"/>
          <w:color w:val="000000" w:themeColor="text1"/>
          <w14:textFill>
            <w14:solidFill>
              <w14:schemeClr w14:val="tx1"/>
            </w14:solidFill>
          </w14:textFill>
        </w:rPr>
      </w:pPr>
    </w:p>
    <w:p>
      <w:pPr>
        <w:pStyle w:val="3"/>
        <w:rPr>
          <w:rFonts w:hint="default"/>
          <w:color w:val="000000" w:themeColor="text1"/>
          <w:vertAlign w:val="baseline"/>
          <w:lang w:val="en-US" w:eastAsia="zh-CN"/>
          <w14:textFill>
            <w14:solidFill>
              <w14:schemeClr w14:val="tx1"/>
            </w14:solidFill>
          </w14:textFill>
        </w:rPr>
      </w:pPr>
      <w:r>
        <w:rPr>
          <w:rFonts w:hint="eastAsia"/>
          <w:color w:val="000000" w:themeColor="text1"/>
          <w:lang w:eastAsia="zh-CN"/>
          <w14:textFill>
            <w14:solidFill>
              <w14:schemeClr w14:val="tx1"/>
            </w14:solidFill>
          </w14:textFill>
        </w:rPr>
        <w:t>表二项目概况</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spacing w:line="360" w:lineRule="auto"/>
              <w:jc w:val="left"/>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2.1</w:t>
            </w:r>
            <w:r>
              <w:rPr>
                <w:rFonts w:hint="eastAsia"/>
                <w:b/>
                <w:bCs/>
                <w:color w:val="000000" w:themeColor="text1"/>
                <w:sz w:val="24"/>
                <w:szCs w:val="24"/>
                <w:lang w:val="en-US" w:eastAsia="zh-CN"/>
                <w14:textFill>
                  <w14:solidFill>
                    <w14:schemeClr w14:val="tx1"/>
                  </w14:solidFill>
                </w14:textFill>
              </w:rPr>
              <w:t xml:space="preserve">  </w:t>
            </w:r>
            <w:r>
              <w:rPr>
                <w:rFonts w:hint="eastAsia"/>
                <w:b/>
                <w:bCs/>
                <w:color w:val="000000" w:themeColor="text1"/>
                <w:sz w:val="24"/>
                <w:szCs w:val="24"/>
                <w14:textFill>
                  <w14:solidFill>
                    <w14:schemeClr w14:val="tx1"/>
                  </w14:solidFill>
                </w14:textFill>
              </w:rPr>
              <w:t>建设项目基本情况</w:t>
            </w:r>
          </w:p>
          <w:p>
            <w:pPr>
              <w:adjustRightInd w:val="0"/>
              <w:snapToGrid w:val="0"/>
              <w:spacing w:line="360" w:lineRule="auto"/>
              <w:ind w:firstLine="480" w:firstLineChars="200"/>
              <w:rPr>
                <w:rFonts w:hint="eastAsia" w:eastAsia="宋体"/>
                <w:color w:val="000000" w:themeColor="text1"/>
                <w:kern w:val="21"/>
                <w:sz w:val="24"/>
                <w:highlight w:val="none"/>
                <w:lang w:eastAsia="zh-CN"/>
                <w14:textFill>
                  <w14:solidFill>
                    <w14:schemeClr w14:val="tx1"/>
                  </w14:solidFill>
                </w14:textFill>
              </w:rPr>
            </w:pPr>
            <w:r>
              <w:rPr>
                <w:rFonts w:hint="eastAsia" w:ascii="Times New Roman" w:hAnsi="宋体" w:eastAsia="宋体" w:cs="Times New Roman"/>
                <w:color w:val="000000" w:themeColor="text1"/>
                <w:kern w:val="0"/>
                <w:sz w:val="24"/>
                <w:szCs w:val="24"/>
                <w:lang w:val="en-US" w:eastAsia="zh-CN" w:bidi="ar-SA"/>
                <w14:textFill>
                  <w14:solidFill>
                    <w14:schemeClr w14:val="tx1"/>
                  </w14:solidFill>
                </w14:textFill>
              </w:rPr>
              <w:t>中山大学南昌研究院</w:t>
            </w:r>
            <w:r>
              <w:rPr>
                <w:rFonts w:hint="eastAsia" w:hAnsi="宋体" w:cs="Times New Roman"/>
                <w:color w:val="000000" w:themeColor="text1"/>
                <w:kern w:val="0"/>
                <w:sz w:val="24"/>
                <w:szCs w:val="24"/>
                <w:lang w:val="en-US" w:eastAsia="zh-CN" w:bidi="ar-SA"/>
                <w14:textFill>
                  <w14:solidFill>
                    <w14:schemeClr w14:val="tx1"/>
                  </w14:solidFill>
                </w14:textFill>
              </w:rPr>
              <w:t>投资400万元</w:t>
            </w:r>
            <w:r>
              <w:rPr>
                <w:rFonts w:hint="default" w:ascii="Times New Roman" w:hAnsi="宋体" w:eastAsia="宋体" w:cs="Times New Roman"/>
                <w:color w:val="000000" w:themeColor="text1"/>
                <w:kern w:val="0"/>
                <w:sz w:val="24"/>
                <w:szCs w:val="24"/>
                <w:lang w:val="en-US" w:eastAsia="zh-CN" w:bidi="ar-SA"/>
                <w14:textFill>
                  <w14:solidFill>
                    <w14:schemeClr w14:val="tx1"/>
                  </w14:solidFill>
                </w14:textFill>
              </w:rPr>
              <w:t>于</w:t>
            </w:r>
            <w:r>
              <w:rPr>
                <w:color w:val="000000" w:themeColor="text1"/>
                <w:sz w:val="24"/>
                <w:highlight w:val="none"/>
                <w14:textFill>
                  <w14:solidFill>
                    <w14:schemeClr w14:val="tx1"/>
                  </w14:solidFill>
                </w14:textFill>
              </w:rPr>
              <w:t>江西省南昌高新技术开发区艾溪湖北路269号租赁高新置业投资有限公司9号楼17~21层建设本项目，建筑共21层，顶层高约63m</w:t>
            </w:r>
            <w:r>
              <w:rPr>
                <w:rFonts w:ascii="Times New Roman" w:hAnsi="宋体" w:eastAsia="宋体" w:cs="Times New Roman"/>
                <w:color w:val="000000" w:themeColor="text1"/>
                <w:kern w:val="0"/>
                <w:sz w:val="24"/>
                <w:szCs w:val="24"/>
                <w:lang w:val="en-US" w:eastAsia="zh-CN" w:bidi="ar-SA"/>
                <w14:textFill>
                  <w14:solidFill>
                    <w14:schemeClr w14:val="tx1"/>
                  </w14:solidFill>
                </w14:textFill>
              </w:rPr>
              <w:t>。</w:t>
            </w:r>
            <w:r>
              <w:rPr>
                <w:rFonts w:hint="eastAsia" w:hAnsi="宋体" w:cs="Times New Roman"/>
                <w:color w:val="000000" w:themeColor="text1"/>
                <w:kern w:val="0"/>
                <w:sz w:val="24"/>
                <w:szCs w:val="24"/>
                <w:lang w:val="en-US" w:eastAsia="zh-CN" w:bidi="ar-SA"/>
                <w14:textFill>
                  <w14:solidFill>
                    <w14:schemeClr w14:val="tx1"/>
                  </w14:solidFill>
                </w14:textFill>
              </w:rPr>
              <w:t>项目投产后，</w:t>
            </w:r>
            <w:r>
              <w:rPr>
                <w:rFonts w:hint="eastAsia" w:ascii="Times New Roman" w:hAnsi="Times New Roman" w:eastAsia="宋体" w:cs="Times New Roman"/>
                <w:color w:val="000000" w:themeColor="text1"/>
                <w:kern w:val="21"/>
                <w:sz w:val="24"/>
                <w:highlight w:val="none"/>
                <w14:textFill>
                  <w14:solidFill>
                    <w14:schemeClr w14:val="tx1"/>
                  </w14:solidFill>
                </w14:textFill>
              </w:rPr>
              <w:t>仅进行医药实验和研究，不进行医药生产</w:t>
            </w:r>
            <w:r>
              <w:rPr>
                <w:rFonts w:hint="eastAsia" w:ascii="Times New Roman" w:hAnsi="Times New Roman" w:eastAsia="宋体" w:cs="Times New Roman"/>
                <w:color w:val="000000" w:themeColor="text1"/>
                <w:kern w:val="21"/>
                <w:sz w:val="24"/>
                <w:highlight w:val="none"/>
                <w:lang w:eastAsia="zh-CN"/>
                <w14:textFill>
                  <w14:solidFill>
                    <w14:schemeClr w14:val="tx1"/>
                  </w14:solidFill>
                </w14:textFill>
              </w:rPr>
              <w:t>。</w:t>
            </w:r>
          </w:p>
          <w:p>
            <w:pPr>
              <w:adjustRightInd w:val="0"/>
              <w:snapToGrid w:val="0"/>
              <w:spacing w:line="360" w:lineRule="auto"/>
              <w:ind w:firstLine="480" w:firstLineChars="200"/>
              <w:rPr>
                <w:rFonts w:hint="default"/>
                <w:color w:val="000000" w:themeColor="text1"/>
                <w:lang w:val="en-US" w:eastAsia="zh-CN"/>
                <w14:textFill>
                  <w14:solidFill>
                    <w14:schemeClr w14:val="tx1"/>
                  </w14:solidFill>
                </w14:textFill>
              </w:rPr>
            </w:pPr>
            <w:r>
              <w:rPr>
                <w:rFonts w:hint="eastAsia"/>
                <w:color w:val="000000" w:themeColor="text1"/>
                <w:sz w:val="24"/>
                <w:szCs w:val="24"/>
                <w:highlight w:val="none"/>
                <w:vertAlign w:val="baseline"/>
                <w:lang w:val="en-US" w:eastAsia="zh-CN"/>
                <w14:textFill>
                  <w14:solidFill>
                    <w14:schemeClr w14:val="tx1"/>
                  </w14:solidFill>
                </w14:textFill>
              </w:rPr>
              <w:t>项目实际建设内容：本项目建设工程实际投资约2300万元，主要建设内容</w:t>
            </w:r>
            <w:r>
              <w:rPr>
                <w:color w:val="000000" w:themeColor="text1"/>
                <w:sz w:val="24"/>
                <w:highlight w:val="none"/>
                <w14:textFill>
                  <w14:solidFill>
                    <w14:schemeClr w14:val="tx1"/>
                  </w14:solidFill>
                </w14:textFill>
              </w:rPr>
              <w:t>主要包括常规理化室、动物实验室、细胞实验室（P1级）等主体工程，仪器室、细胞培养室、解剖室、动物饲养室、资料室、数据处理室、会议室、办公室等辅助工程，耗材、饲料、垫料、笼具储存室等储运工程，供水、供电等公用工程，废水和废气处理、一般固废间、危废暂存间、动物尸体</w:t>
            </w:r>
            <w:r>
              <w:rPr>
                <w:rFonts w:hint="eastAsia"/>
                <w:color w:val="000000" w:themeColor="text1"/>
                <w:sz w:val="24"/>
                <w:highlight w:val="none"/>
                <w14:textFill>
                  <w14:solidFill>
                    <w14:schemeClr w14:val="tx1"/>
                  </w14:solidFill>
                </w14:textFill>
              </w:rPr>
              <w:t>暂存</w:t>
            </w:r>
            <w:r>
              <w:rPr>
                <w:color w:val="000000" w:themeColor="text1"/>
                <w:sz w:val="24"/>
                <w:highlight w:val="none"/>
                <w14:textFill>
                  <w14:solidFill>
                    <w14:schemeClr w14:val="tx1"/>
                  </w14:solidFill>
                </w14:textFill>
              </w:rPr>
              <w:t>房等环保工程。</w:t>
            </w:r>
          </w:p>
          <w:p>
            <w:pPr>
              <w:adjustRightInd w:val="0"/>
              <w:snapToGrid w:val="0"/>
              <w:spacing w:line="360" w:lineRule="auto"/>
              <w:ind w:firstLine="480" w:firstLineChars="200"/>
              <w:rPr>
                <w:color w:val="000000" w:themeColor="text1"/>
                <w:sz w:val="24"/>
                <w:highlight w:val="none"/>
                <w14:textFill>
                  <w14:solidFill>
                    <w14:schemeClr w14:val="tx1"/>
                  </w14:solidFill>
                </w14:textFill>
              </w:rPr>
            </w:pPr>
            <w:r>
              <w:rPr>
                <w:rFonts w:hint="eastAsia" w:ascii="Times New Roman" w:hAnsi="宋体" w:eastAsia="宋体" w:cs="Times New Roman"/>
                <w:color w:val="000000" w:themeColor="text1"/>
                <w:kern w:val="0"/>
                <w:sz w:val="24"/>
                <w:szCs w:val="24"/>
                <w:lang w:val="en-US" w:eastAsia="zh-CN" w:bidi="ar-SA"/>
                <w14:textFill>
                  <w14:solidFill>
                    <w14:schemeClr w14:val="tx1"/>
                  </w14:solidFill>
                </w14:textFill>
              </w:rPr>
              <w:t>202</w:t>
            </w:r>
            <w:r>
              <w:rPr>
                <w:rFonts w:hint="eastAsia" w:hAnsi="宋体" w:cs="Times New Roman"/>
                <w:color w:val="000000" w:themeColor="text1"/>
                <w:kern w:val="0"/>
                <w:sz w:val="24"/>
                <w:szCs w:val="24"/>
                <w:lang w:val="en-US" w:eastAsia="zh-CN" w:bidi="ar-SA"/>
                <w14:textFill>
                  <w14:solidFill>
                    <w14:schemeClr w14:val="tx1"/>
                  </w14:solidFill>
                </w14:textFill>
              </w:rPr>
              <w:t>2</w:t>
            </w:r>
            <w:r>
              <w:rPr>
                <w:rFonts w:hint="eastAsia" w:ascii="Times New Roman" w:hAnsi="宋体" w:eastAsia="宋体" w:cs="Times New Roman"/>
                <w:color w:val="000000" w:themeColor="text1"/>
                <w:kern w:val="0"/>
                <w:sz w:val="24"/>
                <w:szCs w:val="24"/>
                <w:lang w:val="en-US" w:eastAsia="zh-CN" w:bidi="ar-SA"/>
                <w14:textFill>
                  <w14:solidFill>
                    <w14:schemeClr w14:val="tx1"/>
                  </w14:solidFill>
                </w14:textFill>
              </w:rPr>
              <w:t>年</w:t>
            </w:r>
            <w:r>
              <w:rPr>
                <w:rFonts w:hint="eastAsia" w:hAnsi="宋体" w:cs="Times New Roman"/>
                <w:color w:val="000000" w:themeColor="text1"/>
                <w:kern w:val="0"/>
                <w:sz w:val="24"/>
                <w:szCs w:val="24"/>
                <w:lang w:val="en-US" w:eastAsia="zh-CN" w:bidi="ar-SA"/>
                <w14:textFill>
                  <w14:solidFill>
                    <w14:schemeClr w14:val="tx1"/>
                  </w14:solidFill>
                </w14:textFill>
              </w:rPr>
              <w:t>9</w:t>
            </w:r>
            <w:r>
              <w:rPr>
                <w:rFonts w:hint="eastAsia" w:ascii="Times New Roman" w:hAnsi="宋体" w:eastAsia="宋体" w:cs="Times New Roman"/>
                <w:color w:val="000000" w:themeColor="text1"/>
                <w:kern w:val="0"/>
                <w:sz w:val="24"/>
                <w:szCs w:val="24"/>
                <w:lang w:val="en-US" w:eastAsia="zh-CN" w:bidi="ar-SA"/>
                <w14:textFill>
                  <w14:solidFill>
                    <w14:schemeClr w14:val="tx1"/>
                  </w14:solidFill>
                </w14:textFill>
              </w:rPr>
              <w:t>月</w:t>
            </w:r>
            <w:r>
              <w:rPr>
                <w:rFonts w:hint="eastAsia" w:ascii="Times New Roman" w:hAnsi="Times New Roman" w:cs="Times New Roman"/>
                <w:color w:val="000000" w:themeColor="text1"/>
                <w:sz w:val="24"/>
                <w:szCs w:val="24"/>
                <w:lang w:val="en-US" w:eastAsia="zh-CN"/>
                <w14:textFill>
                  <w14:solidFill>
                    <w14:schemeClr w14:val="tx1"/>
                  </w14:solidFill>
                </w14:textFill>
              </w:rPr>
              <w:t>27日</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中山大学南昌研究院生物医药研究中心建设项目</w:t>
            </w:r>
            <w:r>
              <w:rPr>
                <w:rFonts w:hint="eastAsia" w:ascii="Times New Roman" w:hAnsi="Times New Roman" w:cs="Times New Roman"/>
                <w:color w:val="000000" w:themeColor="text1"/>
                <w:sz w:val="24"/>
                <w:szCs w:val="24"/>
                <w:lang w:eastAsia="zh-CN"/>
                <w14:textFill>
                  <w14:solidFill>
                    <w14:schemeClr w14:val="tx1"/>
                  </w14:solidFill>
                </w14:textFill>
              </w:rPr>
              <w:t>获取南昌高新技术产业开发区管理委员会城市管理局，关于中山大学南昌研究院生物医药研究中心建设项目环境影响报告表的批复（洪高新管城审批字〔202</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46</w:t>
            </w:r>
            <w:r>
              <w:rPr>
                <w:rFonts w:hint="eastAsia" w:ascii="Times New Roman" w:hAnsi="Times New Roman" w:cs="Times New Roman"/>
                <w:color w:val="000000" w:themeColor="text1"/>
                <w:sz w:val="24"/>
                <w:szCs w:val="24"/>
                <w:lang w:eastAsia="zh-CN"/>
                <w14:textFill>
                  <w14:solidFill>
                    <w14:schemeClr w14:val="tx1"/>
                  </w14:solidFill>
                </w14:textFill>
              </w:rPr>
              <w:t>号）。</w:t>
            </w:r>
            <w:r>
              <w:rPr>
                <w:rFonts w:hint="eastAsia" w:ascii="Times New Roman" w:hAnsi="Times New Roman" w:cs="Times New Roman"/>
                <w:color w:val="000000" w:themeColor="text1"/>
                <w:sz w:val="24"/>
                <w:szCs w:val="24"/>
                <w:lang w:val="en-US" w:eastAsia="zh-CN"/>
                <w14:textFill>
                  <w14:solidFill>
                    <w14:schemeClr w14:val="tx1"/>
                  </w14:solidFill>
                </w14:textFill>
              </w:rPr>
              <w:t>中山大学南昌研究院生物医药研究中心建设项目</w:t>
            </w:r>
            <w:r>
              <w:rPr>
                <w:rFonts w:hint="eastAsia" w:ascii="Times New Roman" w:hAnsi="Times New Roman" w:cs="Times New Roman"/>
                <w:color w:val="000000" w:themeColor="text1"/>
                <w:sz w:val="24"/>
                <w:szCs w:val="24"/>
                <w:lang w:eastAsia="zh-CN"/>
                <w14:textFill>
                  <w14:solidFill>
                    <w14:schemeClr w14:val="tx1"/>
                  </w14:solidFill>
                </w14:textFill>
              </w:rPr>
              <w:t>现已初步具备竣工环保验收监测条件，</w:t>
            </w:r>
            <w:r>
              <w:rPr>
                <w:color w:val="000000" w:themeColor="text1"/>
                <w:kern w:val="21"/>
                <w:sz w:val="24"/>
                <w:highlight w:val="none"/>
                <w14:textFill>
                  <w14:solidFill>
                    <w14:schemeClr w14:val="tx1"/>
                  </w14:solidFill>
                </w14:textFill>
              </w:rPr>
              <w:t>项目建成后主要</w:t>
            </w:r>
            <w:r>
              <w:rPr>
                <w:color w:val="000000" w:themeColor="text1"/>
                <w:sz w:val="24"/>
                <w:highlight w:val="none"/>
                <w14:textFill>
                  <w14:solidFill>
                    <w14:schemeClr w14:val="tx1"/>
                  </w14:solidFill>
                </w14:textFill>
              </w:rPr>
              <w:t>主要进行药物的分析检测、动物实验（药物的药效和毒理实验）、药物制剂研究等</w:t>
            </w:r>
            <w:r>
              <w:rPr>
                <w:rFonts w:hint="eastAsia"/>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360" w:lineRule="auto"/>
              <w:jc w:val="both"/>
              <w:textAlignment w:val="auto"/>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2.2地理位置及平面布置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（1）地理位置</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项目位于</w:t>
            </w:r>
            <w:r>
              <w:rPr>
                <w:color w:val="000000" w:themeColor="text1"/>
                <w:sz w:val="24"/>
                <w:highlight w:val="none"/>
                <w14:textFill>
                  <w14:solidFill>
                    <w14:schemeClr w14:val="tx1"/>
                  </w14:solidFill>
                </w14:textFill>
              </w:rPr>
              <w:t>江西省南昌高新技术开发区艾溪湖北路269号</w:t>
            </w:r>
            <w:r>
              <w:rPr>
                <w:color w:val="000000" w:themeColor="text1"/>
                <w:sz w:val="24"/>
                <w:szCs w:val="24"/>
                <w14:textFill>
                  <w14:solidFill>
                    <w14:schemeClr w14:val="tx1"/>
                  </w14:solidFill>
                </w14:textFill>
              </w:rPr>
              <w:t>，用地中心坐标为E11</w:t>
            </w:r>
            <w:r>
              <w:rPr>
                <w:rFonts w:hint="eastAsia"/>
                <w:color w:val="000000" w:themeColor="text1"/>
                <w:sz w:val="24"/>
                <w:szCs w:val="24"/>
                <w:lang w:val="en-US" w:eastAsia="zh-CN"/>
                <w14:textFill>
                  <w14:solidFill>
                    <w14:schemeClr w14:val="tx1"/>
                  </w14:solidFill>
                </w14:textFill>
              </w:rPr>
              <w:t>6</w:t>
            </w:r>
            <w:r>
              <w:rPr>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0</w:t>
            </w:r>
            <w:r>
              <w:rPr>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53.218</w:t>
            </w:r>
            <w:r>
              <w:rPr>
                <w:color w:val="000000" w:themeColor="text1"/>
                <w:sz w:val="24"/>
                <w:szCs w:val="24"/>
                <w14:textFill>
                  <w14:solidFill>
                    <w14:schemeClr w14:val="tx1"/>
                  </w14:solidFill>
                </w14:textFill>
              </w:rPr>
              <w:t>″，N2</w:t>
            </w:r>
            <w:r>
              <w:rPr>
                <w:rFonts w:hint="eastAsia"/>
                <w:color w:val="000000" w:themeColor="text1"/>
                <w:sz w:val="24"/>
                <w:szCs w:val="24"/>
                <w:lang w:val="en-US" w:eastAsia="zh-CN"/>
                <w14:textFill>
                  <w14:solidFill>
                    <w14:schemeClr w14:val="tx1"/>
                  </w14:solidFill>
                </w14:textFill>
              </w:rPr>
              <w:t>8</w:t>
            </w:r>
            <w:r>
              <w:rPr>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42</w:t>
            </w:r>
            <w:r>
              <w:rPr>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35.828</w:t>
            </w:r>
            <w:r>
              <w:rPr>
                <w:color w:val="000000" w:themeColor="text1"/>
                <w:sz w:val="24"/>
                <w:szCs w:val="24"/>
                <w14:textFill>
                  <w14:solidFill>
                    <w14:schemeClr w14:val="tx1"/>
                  </w14:solidFill>
                </w14:textFill>
              </w:rPr>
              <w:t>″。</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（2）厂区平面布置</w:t>
            </w:r>
          </w:p>
          <w:p>
            <w:pPr>
              <w:adjustRightInd w:val="0"/>
              <w:snapToGrid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主要包括常规理化室、动物实验室、细胞实验室（P1级）等主体工程，仪器室、细胞培养室、解剖室、动物饲养室、资料室、数据处理室、会议室、办公室等辅助工程，耗材、饲料、垫料、笼具储存室等储运工程，供水、供电等公用工程，废水和废气处理、一般固废间、危废暂存间、动物尸体</w:t>
            </w:r>
            <w:r>
              <w:rPr>
                <w:rFonts w:hint="eastAsia"/>
                <w:color w:val="000000" w:themeColor="text1"/>
                <w:sz w:val="24"/>
                <w:highlight w:val="none"/>
                <w14:textFill>
                  <w14:solidFill>
                    <w14:schemeClr w14:val="tx1"/>
                  </w14:solidFill>
                </w14:textFill>
              </w:rPr>
              <w:t>暂存</w:t>
            </w:r>
            <w:r>
              <w:rPr>
                <w:color w:val="000000" w:themeColor="text1"/>
                <w:sz w:val="24"/>
                <w:highlight w:val="none"/>
                <w14:textFill>
                  <w14:solidFill>
                    <w14:schemeClr w14:val="tx1"/>
                  </w14:solidFill>
                </w14:textFill>
              </w:rPr>
              <w:t>房等环保工程。</w:t>
            </w:r>
          </w:p>
          <w:p>
            <w:pPr>
              <w:adjustRightInd w:val="0"/>
              <w:snapToGrid w:val="0"/>
              <w:spacing w:line="360" w:lineRule="auto"/>
              <w:ind w:firstLine="480" w:firstLineChars="200"/>
              <w:rPr>
                <w:rFonts w:hint="eastAsia" w:eastAsia="宋体"/>
                <w:color w:val="000000" w:themeColor="text1"/>
                <w:sz w:val="24"/>
                <w:szCs w:val="24"/>
                <w:lang w:eastAsia="zh-CN"/>
                <w14:textFill>
                  <w14:solidFill>
                    <w14:schemeClr w14:val="tx1"/>
                  </w14:solidFill>
                </w14:textFill>
              </w:rPr>
            </w:pPr>
            <w:r>
              <w:rPr>
                <w:color w:val="000000" w:themeColor="text1"/>
                <w:sz w:val="24"/>
                <w:highlight w:val="none"/>
                <w14:textFill>
                  <w14:solidFill>
                    <w14:schemeClr w14:val="tx1"/>
                  </w14:solidFill>
                </w14:textFill>
              </w:rPr>
              <w:t>项目实验室每层建筑面积均为1250m</w:t>
            </w:r>
            <w:r>
              <w:rPr>
                <w:color w:val="000000" w:themeColor="text1"/>
                <w:sz w:val="24"/>
                <w:highlight w:val="none"/>
                <w:vertAlign w:val="superscript"/>
                <w14:textFill>
                  <w14:solidFill>
                    <w14:schemeClr w14:val="tx1"/>
                  </w14:solidFill>
                </w14:textFill>
              </w:rPr>
              <w:t>2</w:t>
            </w:r>
            <w:r>
              <w:rPr>
                <w:color w:val="000000" w:themeColor="text1"/>
                <w:sz w:val="24"/>
                <w:highlight w:val="none"/>
                <w14:textFill>
                  <w14:solidFill>
                    <w14:schemeClr w14:val="tx1"/>
                  </w14:solidFill>
                </w14:textFill>
              </w:rPr>
              <w:t>，动物饲养室主要分布于19F、20F</w:t>
            </w:r>
            <w:r>
              <w:rPr>
                <w:rFonts w:hint="eastAsia"/>
                <w:color w:val="000000" w:themeColor="text1"/>
                <w:sz w:val="24"/>
                <w:highlight w:val="none"/>
                <w:lang w:eastAsia="zh-CN"/>
                <w14:textFill>
                  <w14:solidFill>
                    <w14:schemeClr w14:val="tx1"/>
                  </w14:solidFill>
                </w14:textFill>
              </w:rPr>
              <w:t>。</w:t>
            </w:r>
          </w:p>
          <w:p>
            <w:pPr>
              <w:adjustRightInd w:val="0"/>
              <w:snapToGrid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在满足消防、安全、卫生要求的前提下，总平面布局功能分明、工艺流程顺畅、运输及物流合理、生产管理方便，同时结构紧凑、最大限度节约空间，项目平面布置合理。</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（3）环境保护目标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cs="Times New Roman"/>
                <w:b/>
                <w:color w:val="000000" w:themeColor="text1"/>
                <w:sz w:val="18"/>
                <w:szCs w:val="18"/>
                <w14:textFill>
                  <w14:solidFill>
                    <w14:schemeClr w14:val="tx1"/>
                  </w14:solidFill>
                </w14:textFill>
              </w:rPr>
            </w:pPr>
            <w:r>
              <w:rPr>
                <w:color w:val="000000" w:themeColor="text1"/>
                <w:sz w:val="24"/>
                <w:highlight w:val="none"/>
                <w14:textFill>
                  <w14:solidFill>
                    <w14:schemeClr w14:val="tx1"/>
                  </w14:solidFill>
                </w14:textFill>
              </w:rPr>
              <w:t>根据现场踏勘情况，本项目厂界外500</w:t>
            </w:r>
            <w:r>
              <w:rPr>
                <w:rFonts w:hint="eastAsia"/>
                <w:color w:val="000000" w:themeColor="text1"/>
                <w:sz w:val="24"/>
                <w:highlight w:val="none"/>
                <w14:textFill>
                  <w14:solidFill>
                    <w14:schemeClr w14:val="tx1"/>
                  </w14:solidFill>
                </w14:textFill>
              </w:rPr>
              <w:t>m</w:t>
            </w:r>
            <w:r>
              <w:rPr>
                <w:color w:val="000000" w:themeColor="text1"/>
                <w:sz w:val="24"/>
                <w:highlight w:val="none"/>
                <w14:textFill>
                  <w14:solidFill>
                    <w14:schemeClr w14:val="tx1"/>
                  </w14:solidFill>
                </w14:textFill>
              </w:rPr>
              <w:t>范围内最近</w:t>
            </w:r>
            <w:r>
              <w:rPr>
                <w:rFonts w:hint="eastAsia"/>
                <w:color w:val="000000" w:themeColor="text1"/>
                <w:sz w:val="24"/>
                <w:highlight w:val="none"/>
                <w14:textFill>
                  <w14:solidFill>
                    <w14:schemeClr w14:val="tx1"/>
                  </w14:solidFill>
                </w14:textFill>
              </w:rPr>
              <w:t>大气环境保护目标</w:t>
            </w:r>
            <w:r>
              <w:rPr>
                <w:color w:val="000000" w:themeColor="text1"/>
                <w:sz w:val="24"/>
                <w:highlight w:val="none"/>
                <w14:textFill>
                  <w14:solidFill>
                    <w14:schemeClr w14:val="tx1"/>
                  </w14:solidFill>
                </w14:textFill>
              </w:rPr>
              <w:t>为</w:t>
            </w:r>
            <w:r>
              <w:rPr>
                <w:rFonts w:hint="eastAsia"/>
                <w:color w:val="000000" w:themeColor="text1"/>
                <w:sz w:val="24"/>
                <w:highlight w:val="none"/>
                <w14:textFill>
                  <w14:solidFill>
                    <w14:schemeClr w14:val="tx1"/>
                  </w14:solidFill>
                </w14:textFill>
              </w:rPr>
              <w:t>厂区</w:t>
            </w:r>
            <w:r>
              <w:rPr>
                <w:rFonts w:hint="eastAsia"/>
                <w:color w:val="000000" w:themeColor="text1"/>
                <w:sz w:val="24"/>
                <w:highlight w:val="none"/>
                <w:lang w:val="en-US" w:eastAsia="zh-CN"/>
                <w14:textFill>
                  <w14:solidFill>
                    <w14:schemeClr w14:val="tx1"/>
                  </w14:solidFill>
                </w14:textFill>
              </w:rPr>
              <w:t>东227</w:t>
            </w:r>
            <w:r>
              <w:rPr>
                <w:color w:val="000000" w:themeColor="text1"/>
                <w:sz w:val="24"/>
                <w:highlight w:val="none"/>
                <w14:textFill>
                  <w14:solidFill>
                    <w14:schemeClr w14:val="tx1"/>
                  </w14:solidFill>
                </w14:textFill>
              </w:rPr>
              <w:t>m的</w:t>
            </w:r>
            <w:r>
              <w:rPr>
                <w:rFonts w:hint="eastAsia"/>
                <w:color w:val="000000" w:themeColor="text1"/>
                <w:sz w:val="24"/>
                <w:highlight w:val="none"/>
                <w:lang w:val="en-US" w:eastAsia="zh-CN"/>
                <w14:textFill>
                  <w14:solidFill>
                    <w14:schemeClr w14:val="tx1"/>
                  </w14:solidFill>
                </w14:textFill>
              </w:rPr>
              <w:t>西岗山熊家</w:t>
            </w:r>
            <w:r>
              <w:rPr>
                <w:rFonts w:hint="eastAsia"/>
                <w:color w:val="000000" w:themeColor="text1"/>
                <w:sz w:val="24"/>
                <w:highlight w:val="none"/>
                <w14:textFill>
                  <w14:solidFill>
                    <w14:schemeClr w14:val="tx1"/>
                  </w14:solidFill>
                </w14:textFill>
              </w:rPr>
              <w:t>（居住区，约</w:t>
            </w:r>
            <w:r>
              <w:rPr>
                <w:rFonts w:hint="eastAsia"/>
                <w:color w:val="000000" w:themeColor="text1"/>
                <w:sz w:val="24"/>
                <w:highlight w:val="none"/>
                <w:lang w:val="en-US" w:eastAsia="zh-CN"/>
                <w14:textFill>
                  <w14:solidFill>
                    <w14:schemeClr w14:val="tx1"/>
                  </w14:solidFill>
                </w14:textFill>
              </w:rPr>
              <w:t>500</w:t>
            </w:r>
            <w:r>
              <w:rPr>
                <w:rFonts w:hint="eastAsia"/>
                <w:color w:val="000000" w:themeColor="text1"/>
                <w:sz w:val="24"/>
                <w:highlight w:val="none"/>
                <w14:textFill>
                  <w14:solidFill>
                    <w14:schemeClr w14:val="tx1"/>
                  </w14:solidFill>
                </w14:textFill>
              </w:rPr>
              <w:t>人，环境空气二类区）</w:t>
            </w:r>
            <w:r>
              <w:rPr>
                <w:color w:val="000000" w:themeColor="text1"/>
                <w:sz w:val="24"/>
                <w:szCs w:val="24"/>
                <w14:textFill>
                  <w14:solidFill>
                    <w14:schemeClr w14:val="tx1"/>
                  </w14:solidFill>
                </w14:textFill>
              </w:rPr>
              <w:t>该项目</w:t>
            </w:r>
            <w:r>
              <w:rPr>
                <w:rFonts w:hint="eastAsia"/>
                <w:color w:val="000000" w:themeColor="text1"/>
                <w:sz w:val="24"/>
                <w:szCs w:val="24"/>
                <w14:textFill>
                  <w14:solidFill>
                    <w14:schemeClr w14:val="tx1"/>
                  </w14:solidFill>
                </w14:textFill>
              </w:rPr>
              <w:t>环境保护</w:t>
            </w:r>
            <w:r>
              <w:rPr>
                <w:color w:val="000000" w:themeColor="text1"/>
                <w:sz w:val="24"/>
                <w:szCs w:val="24"/>
                <w14:textFill>
                  <w14:solidFill>
                    <w14:schemeClr w14:val="tx1"/>
                  </w14:solidFill>
                </w14:textFill>
              </w:rPr>
              <w:t>目标</w:t>
            </w:r>
            <w:r>
              <w:rPr>
                <w:rFonts w:hint="eastAsia"/>
                <w:color w:val="000000" w:themeColor="text1"/>
                <w:sz w:val="24"/>
                <w:szCs w:val="24"/>
                <w14:textFill>
                  <w14:solidFill>
                    <w14:schemeClr w14:val="tx1"/>
                  </w14:solidFill>
                </w14:textFill>
              </w:rPr>
              <w:t>如下表所示</w:t>
            </w:r>
            <w:r>
              <w:rPr>
                <w:color w:val="000000" w:themeColor="text1"/>
                <w:sz w:val="24"/>
                <w:szCs w:val="24"/>
                <w14:textFill>
                  <w14:solidFill>
                    <w14:schemeClr w14:val="tx1"/>
                  </w14:solidFill>
                </w14:textFill>
              </w:rPr>
              <w:t>。</w:t>
            </w:r>
          </w:p>
          <w:p>
            <w:pPr>
              <w:jc w:val="center"/>
              <w:rPr>
                <w:rFonts w:ascii="Times New Roman" w:hAnsi="Times New Roman" w:cs="Times New Roman"/>
                <w:b/>
                <w:color w:val="000000" w:themeColor="text1"/>
                <w:sz w:val="18"/>
                <w:szCs w:val="18"/>
                <w14:textFill>
                  <w14:solidFill>
                    <w14:schemeClr w14:val="tx1"/>
                  </w14:solidFill>
                </w14:textFill>
              </w:rPr>
            </w:pPr>
            <w:r>
              <w:rPr>
                <w:rFonts w:ascii="Times New Roman" w:hAnsi="Times New Roman" w:cs="Times New Roman"/>
                <w:b/>
                <w:color w:val="000000" w:themeColor="text1"/>
                <w:sz w:val="18"/>
                <w:szCs w:val="18"/>
                <w14:textFill>
                  <w14:solidFill>
                    <w14:schemeClr w14:val="tx1"/>
                  </w14:solidFill>
                </w14:textFill>
              </w:rPr>
              <w:t>表2-1环境保护目标</w:t>
            </w:r>
          </w:p>
          <w:tbl>
            <w:tblPr>
              <w:tblStyle w:val="29"/>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11"/>
              <w:gridCol w:w="1114"/>
              <w:gridCol w:w="1101"/>
              <w:gridCol w:w="1183"/>
              <w:gridCol w:w="850"/>
              <w:gridCol w:w="736"/>
              <w:gridCol w:w="862"/>
              <w:gridCol w:w="24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8" w:hRule="exact"/>
                <w:jc w:val="center"/>
              </w:trPr>
              <w:tc>
                <w:tcPr>
                  <w:tcW w:w="591" w:type="pct"/>
                  <w:vMerge w:val="restart"/>
                  <w:noWrap w:val="0"/>
                  <w:vAlign w:val="center"/>
                </w:tcPr>
                <w:p>
                  <w:pPr>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类别</w:t>
                  </w:r>
                </w:p>
              </w:tc>
              <w:tc>
                <w:tcPr>
                  <w:tcW w:w="592" w:type="pct"/>
                  <w:vMerge w:val="restart"/>
                  <w:noWrap w:val="0"/>
                  <w:vAlign w:val="center"/>
                </w:tcPr>
                <w:p>
                  <w:pPr>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保护目标</w:t>
                  </w:r>
                </w:p>
              </w:tc>
              <w:tc>
                <w:tcPr>
                  <w:tcW w:w="1214" w:type="pct"/>
                  <w:gridSpan w:val="2"/>
                  <w:noWrap w:val="0"/>
                  <w:vAlign w:val="center"/>
                </w:tcPr>
                <w:p>
                  <w:pPr>
                    <w:jc w:val="center"/>
                    <w:rPr>
                      <w:rFonts w:hint="eastAsia" w:eastAsia="宋体"/>
                      <w:color w:val="000000" w:themeColor="text1"/>
                      <w:szCs w:val="21"/>
                      <w:lang w:eastAsia="zh-CN"/>
                      <w14:textFill>
                        <w14:solidFill>
                          <w14:schemeClr w14:val="tx1"/>
                        </w14:solidFill>
                      </w14:textFill>
                    </w:rPr>
                  </w:pPr>
                  <w:r>
                    <w:rPr>
                      <w:rFonts w:hint="eastAsia" w:hAnsi="宋体"/>
                      <w:color w:val="000000" w:themeColor="text1"/>
                      <w:szCs w:val="21"/>
                      <w:lang w:eastAsia="zh-CN"/>
                      <w14:textFill>
                        <w14:solidFill>
                          <w14:schemeClr w14:val="tx1"/>
                        </w14:solidFill>
                      </w14:textFill>
                    </w:rPr>
                    <w:t>相对坐标</w:t>
                  </w:r>
                </w:p>
              </w:tc>
              <w:tc>
                <w:tcPr>
                  <w:tcW w:w="450" w:type="pct"/>
                  <w:vMerge w:val="restart"/>
                  <w:noWrap w:val="0"/>
                  <w:vAlign w:val="center"/>
                </w:tcPr>
                <w:p>
                  <w:pPr>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人口</w:t>
                  </w:r>
                </w:p>
              </w:tc>
              <w:tc>
                <w:tcPr>
                  <w:tcW w:w="391" w:type="pct"/>
                  <w:vMerge w:val="restart"/>
                  <w:noWrap w:val="0"/>
                  <w:vAlign w:val="center"/>
                </w:tcPr>
                <w:p>
                  <w:pPr>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方位</w:t>
                  </w:r>
                </w:p>
              </w:tc>
              <w:tc>
                <w:tcPr>
                  <w:tcW w:w="458" w:type="pct"/>
                  <w:vMerge w:val="restart"/>
                  <w:noWrap w:val="0"/>
                  <w:vAlign w:val="center"/>
                </w:tcPr>
                <w:p>
                  <w:pPr>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距离</w:t>
                  </w:r>
                </w:p>
              </w:tc>
              <w:tc>
                <w:tcPr>
                  <w:tcW w:w="1301" w:type="pct"/>
                  <w:vMerge w:val="restart"/>
                  <w:noWrap w:val="0"/>
                  <w:vAlign w:val="center"/>
                </w:tcPr>
                <w:p>
                  <w:pPr>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591" w:type="pct"/>
                  <w:vMerge w:val="continue"/>
                  <w:noWrap w:val="0"/>
                  <w:vAlign w:val="center"/>
                </w:tcPr>
                <w:p>
                  <w:pPr>
                    <w:jc w:val="center"/>
                    <w:rPr>
                      <w:color w:val="000000" w:themeColor="text1"/>
                      <w:szCs w:val="21"/>
                      <w14:textFill>
                        <w14:solidFill>
                          <w14:schemeClr w14:val="tx1"/>
                        </w14:solidFill>
                      </w14:textFill>
                    </w:rPr>
                  </w:pPr>
                </w:p>
              </w:tc>
              <w:tc>
                <w:tcPr>
                  <w:tcW w:w="592" w:type="pct"/>
                  <w:vMerge w:val="continue"/>
                  <w:noWrap w:val="0"/>
                  <w:vAlign w:val="center"/>
                </w:tcPr>
                <w:p>
                  <w:pPr>
                    <w:jc w:val="center"/>
                    <w:rPr>
                      <w:color w:val="000000" w:themeColor="text1"/>
                      <w:szCs w:val="21"/>
                      <w14:textFill>
                        <w14:solidFill>
                          <w14:schemeClr w14:val="tx1"/>
                        </w14:solidFill>
                      </w14:textFill>
                    </w:rPr>
                  </w:pPr>
                </w:p>
              </w:tc>
              <w:tc>
                <w:tcPr>
                  <w:tcW w:w="585" w:type="pct"/>
                  <w:noWrap w:val="0"/>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X</w:t>
                  </w:r>
                </w:p>
              </w:tc>
              <w:tc>
                <w:tcPr>
                  <w:tcW w:w="628" w:type="pct"/>
                  <w:noWrap w:val="0"/>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Y</w:t>
                  </w:r>
                </w:p>
              </w:tc>
              <w:tc>
                <w:tcPr>
                  <w:tcW w:w="450" w:type="pct"/>
                  <w:vMerge w:val="continue"/>
                  <w:noWrap w:val="0"/>
                  <w:vAlign w:val="center"/>
                </w:tcPr>
                <w:p>
                  <w:pPr>
                    <w:jc w:val="center"/>
                    <w:rPr>
                      <w:color w:val="000000" w:themeColor="text1"/>
                      <w:szCs w:val="21"/>
                      <w14:textFill>
                        <w14:solidFill>
                          <w14:schemeClr w14:val="tx1"/>
                        </w14:solidFill>
                      </w14:textFill>
                    </w:rPr>
                  </w:pPr>
                </w:p>
              </w:tc>
              <w:tc>
                <w:tcPr>
                  <w:tcW w:w="391" w:type="pct"/>
                  <w:vMerge w:val="continue"/>
                  <w:noWrap w:val="0"/>
                  <w:vAlign w:val="center"/>
                </w:tcPr>
                <w:p>
                  <w:pPr>
                    <w:jc w:val="center"/>
                    <w:rPr>
                      <w:color w:val="000000" w:themeColor="text1"/>
                      <w:szCs w:val="21"/>
                      <w14:textFill>
                        <w14:solidFill>
                          <w14:schemeClr w14:val="tx1"/>
                        </w14:solidFill>
                      </w14:textFill>
                    </w:rPr>
                  </w:pPr>
                </w:p>
              </w:tc>
              <w:tc>
                <w:tcPr>
                  <w:tcW w:w="458" w:type="pct"/>
                  <w:vMerge w:val="continue"/>
                  <w:noWrap w:val="0"/>
                  <w:vAlign w:val="center"/>
                </w:tcPr>
                <w:p>
                  <w:pPr>
                    <w:jc w:val="center"/>
                    <w:rPr>
                      <w:color w:val="000000" w:themeColor="text1"/>
                      <w:szCs w:val="21"/>
                      <w14:textFill>
                        <w14:solidFill>
                          <w14:schemeClr w14:val="tx1"/>
                        </w14:solidFill>
                      </w14:textFill>
                    </w:rPr>
                  </w:pPr>
                </w:p>
              </w:tc>
              <w:tc>
                <w:tcPr>
                  <w:tcW w:w="1301" w:type="pct"/>
                  <w:vMerge w:val="continue"/>
                  <w:noWrap w:val="0"/>
                  <w:vAlign w:val="center"/>
                </w:tcPr>
                <w:p>
                  <w:pPr>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9" w:hRule="exact"/>
                <w:jc w:val="center"/>
              </w:trPr>
              <w:tc>
                <w:tcPr>
                  <w:tcW w:w="591" w:type="pct"/>
                  <w:noWrap w:val="0"/>
                  <w:vAlign w:val="center"/>
                </w:tcPr>
                <w:p>
                  <w:pPr>
                    <w:jc w:val="center"/>
                    <w:rPr>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大气环境</w:t>
                  </w:r>
                </w:p>
              </w:tc>
              <w:tc>
                <w:tcPr>
                  <w:tcW w:w="592" w:type="pct"/>
                  <w:noWrap w:val="0"/>
                  <w:vAlign w:val="center"/>
                </w:tcPr>
                <w:p>
                  <w:pPr>
                    <w:pStyle w:val="129"/>
                    <w:adjustRightInd w:val="0"/>
                    <w:ind w:firstLine="0" w:firstLineChars="0"/>
                    <w:rPr>
                      <w:rFonts w:hint="eastAsia" w:eastAsia="宋体"/>
                      <w:color w:val="000000" w:themeColor="text1"/>
                      <w:sz w:val="21"/>
                      <w:szCs w:val="21"/>
                      <w:lang w:eastAsia="zh-CN"/>
                      <w14:textFill>
                        <w14:solidFill>
                          <w14:schemeClr w14:val="tx1"/>
                        </w14:solidFill>
                      </w14:textFill>
                    </w:rPr>
                  </w:pPr>
                  <w:r>
                    <w:rPr>
                      <w:color w:val="000000" w:themeColor="text1"/>
                      <w:sz w:val="21"/>
                      <w:szCs w:val="21"/>
                      <w:highlight w:val="none"/>
                      <w14:textFill>
                        <w14:solidFill>
                          <w14:schemeClr w14:val="tx1"/>
                        </w14:solidFill>
                      </w14:textFill>
                    </w:rPr>
                    <w:t>西岗山熊</w:t>
                  </w:r>
                  <w:r>
                    <w:rPr>
                      <w:rFonts w:hint="eastAsia"/>
                      <w:color w:val="000000" w:themeColor="text1"/>
                      <w:sz w:val="21"/>
                      <w:szCs w:val="21"/>
                      <w:highlight w:val="none"/>
                      <w:lang w:eastAsia="zh-CN"/>
                      <w14:textFill>
                        <w14:solidFill>
                          <w14:schemeClr w14:val="tx1"/>
                        </w14:solidFill>
                      </w14:textFill>
                    </w:rPr>
                    <w:t>家</w:t>
                  </w:r>
                </w:p>
              </w:tc>
              <w:tc>
                <w:tcPr>
                  <w:tcW w:w="585" w:type="pct"/>
                  <w:noWrap w:val="0"/>
                  <w:vAlign w:val="center"/>
                </w:tcPr>
                <w:p>
                  <w:pPr>
                    <w:pStyle w:val="129"/>
                    <w:adjustRightInd w:val="0"/>
                    <w:ind w:firstLine="0" w:firstLineChars="0"/>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t>227</w:t>
                  </w:r>
                </w:p>
              </w:tc>
              <w:tc>
                <w:tcPr>
                  <w:tcW w:w="628" w:type="pct"/>
                  <w:noWrap w:val="0"/>
                  <w:vAlign w:val="center"/>
                </w:tcPr>
                <w:p>
                  <w:pPr>
                    <w:pStyle w:val="129"/>
                    <w:adjustRightInd w:val="0"/>
                    <w:ind w:firstLine="0" w:firstLineChars="0"/>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450" w:type="pct"/>
                  <w:noWrap w:val="0"/>
                  <w:vAlign w:val="center"/>
                </w:tcPr>
                <w:p>
                  <w:pPr>
                    <w:jc w:val="center"/>
                    <w:rPr>
                      <w:color w:val="000000" w:themeColor="text1"/>
                      <w:sz w:val="21"/>
                      <w:szCs w:val="21"/>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500</w:t>
                  </w:r>
                  <w:r>
                    <w:rPr>
                      <w:rFonts w:hint="default"/>
                      <w:bCs/>
                      <w:color w:val="000000" w:themeColor="text1"/>
                      <w:sz w:val="21"/>
                      <w:szCs w:val="21"/>
                      <w:highlight w:val="none"/>
                      <w14:textFill>
                        <w14:solidFill>
                          <w14:schemeClr w14:val="tx1"/>
                        </w14:solidFill>
                      </w14:textFill>
                    </w:rPr>
                    <w:t>人</w:t>
                  </w:r>
                </w:p>
              </w:tc>
              <w:tc>
                <w:tcPr>
                  <w:tcW w:w="391" w:type="pct"/>
                  <w:noWrap w:val="0"/>
                  <w:vAlign w:val="center"/>
                </w:tcPr>
                <w:p>
                  <w:pPr>
                    <w:jc w:val="center"/>
                    <w:rPr>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东</w:t>
                  </w:r>
                </w:p>
              </w:tc>
              <w:tc>
                <w:tcPr>
                  <w:tcW w:w="458" w:type="pct"/>
                  <w:noWrap w:val="0"/>
                  <w:vAlign w:val="center"/>
                </w:tcPr>
                <w:p>
                  <w:pPr>
                    <w:jc w:val="center"/>
                    <w:rPr>
                      <w:color w:val="000000" w:themeColor="text1"/>
                      <w:sz w:val="21"/>
                      <w:szCs w:val="21"/>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227</w:t>
                  </w:r>
                  <w:r>
                    <w:rPr>
                      <w:color w:val="000000" w:themeColor="text1"/>
                      <w:sz w:val="21"/>
                      <w:szCs w:val="21"/>
                      <w14:textFill>
                        <w14:solidFill>
                          <w14:schemeClr w14:val="tx1"/>
                        </w14:solidFill>
                      </w14:textFill>
                    </w:rPr>
                    <w:t>m</w:t>
                  </w:r>
                </w:p>
              </w:tc>
              <w:tc>
                <w:tcPr>
                  <w:tcW w:w="1301" w:type="pct"/>
                  <w:noWrap w:val="0"/>
                  <w:vAlign w:val="center"/>
                </w:tcPr>
                <w:p>
                  <w:pPr>
                    <w:jc w:val="center"/>
                    <w:rPr>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《环境空气质量标准》</w:t>
                  </w:r>
                  <w:r>
                    <w:rPr>
                      <w:rFonts w:hAnsi="宋体"/>
                      <w:bCs/>
                      <w:color w:val="000000" w:themeColor="text1"/>
                      <w:spacing w:val="-14"/>
                      <w:sz w:val="21"/>
                      <w:szCs w:val="21"/>
                      <w14:textFill>
                        <w14:solidFill>
                          <w14:schemeClr w14:val="tx1"/>
                        </w14:solidFill>
                      </w14:textFill>
                    </w:rPr>
                    <w:t>（</w:t>
                  </w:r>
                  <w:r>
                    <w:rPr>
                      <w:color w:val="000000" w:themeColor="text1"/>
                      <w:spacing w:val="-14"/>
                      <w:sz w:val="21"/>
                      <w:szCs w:val="21"/>
                      <w14:textFill>
                        <w14:solidFill>
                          <w14:schemeClr w14:val="tx1"/>
                        </w14:solidFill>
                      </w14:textFill>
                    </w:rPr>
                    <w:t>GB3095-2012</w:t>
                  </w:r>
                  <w:r>
                    <w:rPr>
                      <w:rFonts w:hAnsi="宋体"/>
                      <w:color w:val="000000" w:themeColor="text1"/>
                      <w:spacing w:val="-14"/>
                      <w:sz w:val="21"/>
                      <w:szCs w:val="21"/>
                      <w14:textFill>
                        <w14:solidFill>
                          <w14:schemeClr w14:val="tx1"/>
                        </w14:solidFill>
                      </w14:textFill>
                    </w:rPr>
                    <w:t>）</w:t>
                  </w:r>
                  <w:r>
                    <w:rPr>
                      <w:rFonts w:hAnsi="宋体"/>
                      <w:bCs/>
                      <w:color w:val="000000" w:themeColor="text1"/>
                      <w:spacing w:val="-14"/>
                      <w:sz w:val="21"/>
                      <w:szCs w:val="21"/>
                      <w14:textFill>
                        <w14:solidFill>
                          <w14:schemeClr w14:val="tx1"/>
                        </w14:solidFill>
                      </w14:textFill>
                    </w:rP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9" w:hRule="exact"/>
                <w:jc w:val="center"/>
              </w:trPr>
              <w:tc>
                <w:tcPr>
                  <w:tcW w:w="591" w:type="pct"/>
                  <w:noWrap w:val="0"/>
                  <w:vAlign w:val="center"/>
                </w:tcPr>
                <w:p>
                  <w:pPr>
                    <w:pStyle w:val="129"/>
                    <w:adjustRightInd w:val="0"/>
                    <w:ind w:firstLine="0" w:firstLineChars="0"/>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地表水环境</w:t>
                  </w:r>
                </w:p>
              </w:tc>
              <w:tc>
                <w:tcPr>
                  <w:tcW w:w="2257" w:type="pct"/>
                  <w:gridSpan w:val="4"/>
                  <w:noWrap w:val="0"/>
                  <w:vAlign w:val="center"/>
                </w:tcPr>
                <w:p>
                  <w:pPr>
                    <w:pStyle w:val="129"/>
                    <w:adjustRightInd w:val="0"/>
                    <w:ind w:firstLine="0" w:firstLineChars="0"/>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赣江南支</w:t>
                  </w:r>
                </w:p>
              </w:tc>
              <w:tc>
                <w:tcPr>
                  <w:tcW w:w="391" w:type="pct"/>
                  <w:noWrap w:val="0"/>
                  <w:vAlign w:val="center"/>
                </w:tcPr>
                <w:p>
                  <w:pPr>
                    <w:pStyle w:val="129"/>
                    <w:adjustRightInd w:val="0"/>
                    <w:ind w:firstLine="0" w:firstLineChars="0"/>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北</w:t>
                  </w:r>
                </w:p>
              </w:tc>
              <w:tc>
                <w:tcPr>
                  <w:tcW w:w="458" w:type="pct"/>
                  <w:noWrap w:val="0"/>
                  <w:vAlign w:val="center"/>
                </w:tcPr>
                <w:p>
                  <w:pPr>
                    <w:pStyle w:val="129"/>
                    <w:adjustRightInd w:val="0"/>
                    <w:ind w:firstLine="0" w:firstLineChars="0"/>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1.72km</w:t>
                  </w:r>
                </w:p>
              </w:tc>
              <w:tc>
                <w:tcPr>
                  <w:tcW w:w="1301" w:type="pct"/>
                  <w:noWrap w:val="0"/>
                  <w:vAlign w:val="center"/>
                </w:tcPr>
                <w:p>
                  <w:pPr>
                    <w:pStyle w:val="129"/>
                    <w:adjustRightInd w:val="0"/>
                    <w:ind w:firstLine="0" w:firstLineChars="0"/>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《地表水环境质量标准》（GB3838-2002）中Ⅳ类标准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9" w:hRule="exact"/>
                <w:jc w:val="center"/>
              </w:trPr>
              <w:tc>
                <w:tcPr>
                  <w:tcW w:w="1113" w:type="dxa"/>
                  <w:noWrap w:val="0"/>
                  <w:vAlign w:val="center"/>
                </w:tcPr>
                <w:p>
                  <w:pPr>
                    <w:pStyle w:val="129"/>
                    <w:adjustRightInd w:val="0"/>
                    <w:ind w:firstLine="0" w:firstLineChars="0"/>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声环境</w:t>
                  </w:r>
                </w:p>
              </w:tc>
              <w:tc>
                <w:tcPr>
                  <w:tcW w:w="5844" w:type="dxa"/>
                  <w:gridSpan w:val="6"/>
                  <w:noWrap w:val="0"/>
                  <w:vAlign w:val="center"/>
                </w:tcPr>
                <w:p>
                  <w:pPr>
                    <w:pStyle w:val="129"/>
                    <w:adjustRightInd w:val="0"/>
                    <w:ind w:firstLine="0" w:firstLineChars="0"/>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eastAsia" w:cs="Times New Roman"/>
                      <w:b w:val="0"/>
                      <w:bCs w:val="0"/>
                      <w:color w:val="000000" w:themeColor="text1"/>
                      <w:sz w:val="21"/>
                      <w:szCs w:val="21"/>
                      <w:highlight w:val="none"/>
                      <w:lang w:eastAsia="zh-CN"/>
                      <w14:textFill>
                        <w14:solidFill>
                          <w14:schemeClr w14:val="tx1"/>
                        </w14:solidFill>
                      </w14:textFill>
                    </w:rPr>
                    <w:t>项目所在区域</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外1米</w:t>
                  </w:r>
                </w:p>
              </w:tc>
              <w:tc>
                <w:tcPr>
                  <w:tcW w:w="2447" w:type="dxa"/>
                  <w:noWrap w:val="0"/>
                  <w:vAlign w:val="center"/>
                </w:tcPr>
                <w:p>
                  <w:pPr>
                    <w:pStyle w:val="129"/>
                    <w:adjustRightInd w:val="0"/>
                    <w:ind w:firstLine="0" w:firstLineChars="0"/>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《声环境质量标准》（GB3096-2008）中2类</w:t>
                  </w:r>
                </w:p>
              </w:tc>
            </w:tr>
          </w:tbl>
          <w:p>
            <w:pPr>
              <w:keepNext w:val="0"/>
              <w:keepLines w:val="0"/>
              <w:pageBreakBefore w:val="0"/>
              <w:widowControl w:val="0"/>
              <w:kinsoku/>
              <w:wordWrap/>
              <w:overflowPunct/>
              <w:topLinePunct w:val="0"/>
              <w:autoSpaceDE/>
              <w:autoSpaceDN/>
              <w:bidi w:val="0"/>
              <w:spacing w:line="360" w:lineRule="auto"/>
              <w:jc w:val="left"/>
              <w:textAlignment w:val="auto"/>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2.</w:t>
            </w:r>
            <w:r>
              <w:rPr>
                <w:b/>
                <w:bCs/>
                <w:color w:val="000000" w:themeColor="text1"/>
                <w:sz w:val="24"/>
                <w:szCs w:val="24"/>
                <w14:textFill>
                  <w14:solidFill>
                    <w14:schemeClr w14:val="tx1"/>
                  </w14:solidFill>
                </w14:textFill>
              </w:rPr>
              <w:t>3建设内容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（1）产品方案</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本项目主产品详见下表2</w:t>
            </w:r>
            <w:r>
              <w:rPr>
                <w:color w:val="000000" w:themeColor="text1"/>
                <w:sz w:val="24"/>
                <w:szCs w:val="24"/>
                <w14:textFill>
                  <w14:solidFill>
                    <w14:schemeClr w14:val="tx1"/>
                  </w14:solidFill>
                </w14:textFill>
              </w:rPr>
              <w:t>-2</w:t>
            </w:r>
            <w:r>
              <w:rPr>
                <w:rFonts w:hint="eastAsia"/>
                <w:color w:val="000000" w:themeColor="text1"/>
                <w:sz w:val="24"/>
                <w:szCs w:val="24"/>
                <w14:textFill>
                  <w14:solidFill>
                    <w14:schemeClr w14:val="tx1"/>
                  </w14:solidFill>
                </w14:textFill>
              </w:rPr>
              <w:t>。</w:t>
            </w:r>
          </w:p>
          <w:p>
            <w:pPr>
              <w:pStyle w:val="113"/>
              <w:rPr>
                <w:color w:val="000000" w:themeColor="text1"/>
                <w:sz w:val="18"/>
                <w:szCs w:val="18"/>
                <w14:textFill>
                  <w14:solidFill>
                    <w14:schemeClr w14:val="tx1"/>
                  </w14:solidFill>
                </w14:textFill>
              </w:rPr>
            </w:pPr>
            <w:r>
              <w:rPr>
                <w:rFonts w:hint="eastAsia"/>
                <w:color w:val="000000" w:themeColor="text1"/>
                <w:sz w:val="18"/>
                <w:szCs w:val="18"/>
                <w:lang w:eastAsia="zh-CN"/>
                <w14:textFill>
                  <w14:solidFill>
                    <w14:schemeClr w14:val="tx1"/>
                  </w14:solidFill>
                </w14:textFill>
              </w:rPr>
              <w:t>表</w:t>
            </w:r>
            <w:r>
              <w:rPr>
                <w:rFonts w:hint="eastAsia"/>
                <w:color w:val="000000" w:themeColor="text1"/>
                <w:sz w:val="18"/>
                <w:szCs w:val="18"/>
                <w:lang w:val="en-US" w:eastAsia="zh-CN"/>
                <w14:textFill>
                  <w14:solidFill>
                    <w14:schemeClr w14:val="tx1"/>
                  </w14:solidFill>
                </w14:textFill>
              </w:rPr>
              <w:t>2</w:t>
            </w:r>
            <w:r>
              <w:rPr>
                <w:color w:val="000000" w:themeColor="text1"/>
                <w:sz w:val="18"/>
                <w:szCs w:val="18"/>
                <w14:textFill>
                  <w14:solidFill>
                    <w14:schemeClr w14:val="tx1"/>
                  </w14:solidFill>
                </w14:textFill>
              </w:rPr>
              <w:t>-</w:t>
            </w:r>
            <w:r>
              <w:rPr>
                <w:rFonts w:hint="default"/>
                <w:color w:val="000000" w:themeColor="text1"/>
                <w:sz w:val="18"/>
                <w:szCs w:val="18"/>
                <w14:textFill>
                  <w14:solidFill>
                    <w14:schemeClr w14:val="tx1"/>
                  </w14:solidFill>
                </w14:textFill>
              </w:rPr>
              <w:t xml:space="preserve">2 </w:t>
            </w:r>
            <w:r>
              <w:rPr>
                <w:color w:val="000000" w:themeColor="text1"/>
                <w:sz w:val="18"/>
                <w:szCs w:val="18"/>
                <w14:textFill>
                  <w14:solidFill>
                    <w14:schemeClr w14:val="tx1"/>
                  </w14:solidFill>
                </w14:textFill>
              </w:rPr>
              <w:t>产品方案一览表</w:t>
            </w:r>
          </w:p>
          <w:tbl>
            <w:tblPr>
              <w:tblStyle w:val="30"/>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48"/>
              <w:gridCol w:w="2350"/>
              <w:gridCol w:w="1077"/>
              <w:gridCol w:w="1125"/>
              <w:gridCol w:w="250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48"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产品名称</w:t>
                  </w:r>
                </w:p>
              </w:tc>
              <w:tc>
                <w:tcPr>
                  <w:tcW w:w="23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规格</w:t>
                  </w:r>
                </w:p>
              </w:tc>
              <w:tc>
                <w:tcPr>
                  <w:tcW w:w="1077"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设计能力</w:t>
                  </w:r>
                </w:p>
              </w:tc>
              <w:tc>
                <w:tcPr>
                  <w:tcW w:w="1125"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实际产量</w:t>
                  </w:r>
                </w:p>
              </w:tc>
              <w:tc>
                <w:tcPr>
                  <w:tcW w:w="250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48" w:type="dxa"/>
                  <w:vAlign w:val="center"/>
                </w:tcPr>
                <w:p>
                  <w:pPr>
                    <w:pStyle w:val="122"/>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药物分析检测</w:t>
                  </w:r>
                </w:p>
              </w:tc>
              <w:tc>
                <w:tcPr>
                  <w:tcW w:w="23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根据客户要求</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进行检测、分析</w:t>
                  </w:r>
                </w:p>
              </w:tc>
              <w:tc>
                <w:tcPr>
                  <w:tcW w:w="1077" w:type="dxa"/>
                  <w:vAlign w:val="center"/>
                </w:tcPr>
                <w:p>
                  <w:pPr>
                    <w:pStyle w:val="122"/>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c>
                <w:tcPr>
                  <w:tcW w:w="11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2504" w:type="dxa"/>
                  <w:vAlign w:val="center"/>
                </w:tcPr>
                <w:p>
                  <w:pPr>
                    <w:pStyle w:val="10"/>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根据客户要求，建设单位负责检验药物成分、理化性质等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48" w:type="dxa"/>
                  <w:vAlign w:val="center"/>
                </w:tcPr>
                <w:p>
                  <w:pPr>
                    <w:pStyle w:val="122"/>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动物或细胞实验（药物的药效和毒理实验）</w:t>
                  </w:r>
                </w:p>
              </w:tc>
              <w:tc>
                <w:tcPr>
                  <w:tcW w:w="23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根据客户要求</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进行实验</w:t>
                  </w:r>
                </w:p>
              </w:tc>
              <w:tc>
                <w:tcPr>
                  <w:tcW w:w="1077" w:type="dxa"/>
                  <w:vAlign w:val="center"/>
                </w:tcPr>
                <w:p>
                  <w:pPr>
                    <w:pStyle w:val="122"/>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125" w:type="dxa"/>
                  <w:vAlign w:val="center"/>
                </w:tcPr>
                <w:p>
                  <w:pPr>
                    <w:pStyle w:val="122"/>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2504" w:type="dxa"/>
                  <w:vAlign w:val="center"/>
                </w:tcPr>
                <w:p>
                  <w:pPr>
                    <w:pStyle w:val="10"/>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供药单位提供药物，通过动物或细胞进行实验，研究该药物对疾病的治疗效果及对动物或细胞的毒性作用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48" w:type="dxa"/>
                  <w:vAlign w:val="center"/>
                </w:tcPr>
                <w:p>
                  <w:pPr>
                    <w:pStyle w:val="122"/>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药物的制剂实验</w:t>
                  </w:r>
                </w:p>
              </w:tc>
              <w:tc>
                <w:tcPr>
                  <w:tcW w:w="23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根据客户要求</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进行实验</w:t>
                  </w:r>
                </w:p>
              </w:tc>
              <w:tc>
                <w:tcPr>
                  <w:tcW w:w="1077" w:type="dxa"/>
                  <w:vAlign w:val="center"/>
                </w:tcPr>
                <w:p>
                  <w:pPr>
                    <w:pStyle w:val="122"/>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125" w:type="dxa"/>
                  <w:vAlign w:val="center"/>
                </w:tcPr>
                <w:p>
                  <w:pPr>
                    <w:pStyle w:val="122"/>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2504" w:type="dxa"/>
                  <w:vAlign w:val="center"/>
                </w:tcPr>
                <w:p>
                  <w:pPr>
                    <w:pStyle w:val="10"/>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通过水提和醇提小规模制剂（制成固体态药剂或液态药剂）</w:t>
                  </w:r>
                </w:p>
              </w:tc>
            </w:tr>
          </w:tbl>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（2）项目主要工程内容</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项目主要工程内容组成见表2-</w:t>
            </w:r>
            <w:r>
              <w:rPr>
                <w:color w:val="000000" w:themeColor="text1"/>
                <w:sz w:val="24"/>
                <w:szCs w:val="24"/>
                <w14:textFill>
                  <w14:solidFill>
                    <w14:schemeClr w14:val="tx1"/>
                  </w14:solidFill>
                </w14:textFill>
              </w:rPr>
              <w:t>3</w:t>
            </w:r>
            <w:r>
              <w:rPr>
                <w:rFonts w:hint="eastAsia"/>
                <w:color w:val="000000" w:themeColor="text1"/>
                <w:sz w:val="24"/>
                <w:szCs w:val="24"/>
                <w14:textFill>
                  <w14:solidFill>
                    <w14:schemeClr w14:val="tx1"/>
                  </w14:solidFill>
                </w14:textFill>
              </w:rPr>
              <w:t>。</w:t>
            </w:r>
          </w:p>
          <w:p>
            <w:pPr>
              <w:pStyle w:val="113"/>
              <w:rPr>
                <w:rFonts w:hint="default"/>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表2-</w:t>
            </w:r>
            <w:r>
              <w:rPr>
                <w:rFonts w:hint="default"/>
                <w:color w:val="000000" w:themeColor="text1"/>
                <w:sz w:val="18"/>
                <w:szCs w:val="18"/>
                <w14:textFill>
                  <w14:solidFill>
                    <w14:schemeClr w14:val="tx1"/>
                  </w14:solidFill>
                </w14:textFill>
              </w:rPr>
              <w:t>3 建设项目</w:t>
            </w:r>
            <w:r>
              <w:rPr>
                <w:color w:val="000000" w:themeColor="text1"/>
                <w:sz w:val="18"/>
                <w:szCs w:val="18"/>
                <w14:textFill>
                  <w14:solidFill>
                    <w14:schemeClr w14:val="tx1"/>
                  </w14:solidFill>
                </w14:textFill>
              </w:rPr>
              <w:t>主要工程内容组成一览表</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1"/>
              <w:gridCol w:w="953"/>
              <w:gridCol w:w="3130"/>
              <w:gridCol w:w="3055"/>
              <w:gridCol w:w="164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5" w:type="pct"/>
                  <w:vAlign w:val="center"/>
                </w:tcPr>
                <w:p>
                  <w:pPr>
                    <w:jc w:val="center"/>
                    <w:rPr>
                      <w:rFonts w:hint="eastAsia"/>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名称</w:t>
                  </w:r>
                </w:p>
              </w:tc>
              <w:tc>
                <w:tcPr>
                  <w:tcW w:w="506" w:type="pct"/>
                  <w:vAlign w:val="center"/>
                </w:tcPr>
                <w:p>
                  <w:pPr>
                    <w:jc w:val="center"/>
                    <w:rPr>
                      <w:rFonts w:hint="eastAsia"/>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主要构筑物</w:t>
                  </w:r>
                </w:p>
              </w:tc>
              <w:tc>
                <w:tcPr>
                  <w:tcW w:w="1662" w:type="pct"/>
                  <w:vAlign w:val="center"/>
                </w:tcPr>
                <w:p>
                  <w:pPr>
                    <w:jc w:val="center"/>
                    <w:rPr>
                      <w:rFonts w:hint="eastAsia"/>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环评及批复建设内容及规模</w:t>
                  </w:r>
                </w:p>
              </w:tc>
              <w:tc>
                <w:tcPr>
                  <w:tcW w:w="1622" w:type="pct"/>
                  <w:vAlign w:val="center"/>
                </w:tcPr>
                <w:p>
                  <w:pPr>
                    <w:jc w:val="center"/>
                    <w:rPr>
                      <w:rFonts w:hint="eastAsia"/>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实际建设内容及规模</w:t>
                  </w:r>
                </w:p>
              </w:tc>
              <w:tc>
                <w:tcPr>
                  <w:tcW w:w="873" w:type="pct"/>
                  <w:vAlign w:val="center"/>
                </w:tcPr>
                <w:p>
                  <w:pPr>
                    <w:jc w:val="center"/>
                    <w:rPr>
                      <w:rFonts w:hint="eastAsia"/>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变化情况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35" w:type="pct"/>
                  <w:vMerge w:val="restart"/>
                  <w:vAlign w:val="center"/>
                </w:tcPr>
                <w:p>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主体</w:t>
                  </w:r>
                </w:p>
                <w:p>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工程</w:t>
                  </w:r>
                </w:p>
              </w:tc>
              <w:tc>
                <w:tcPr>
                  <w:tcW w:w="506" w:type="pct"/>
                  <w:vMerge w:val="restar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药物实验室</w:t>
                  </w:r>
                </w:p>
              </w:tc>
              <w:tc>
                <w:tcPr>
                  <w:tcW w:w="1662"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设置1间常规理化室位于17F</w:t>
                  </w:r>
                </w:p>
              </w:tc>
              <w:tc>
                <w:tcPr>
                  <w:tcW w:w="1622"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设置1间常规理化室位于17F</w:t>
                  </w:r>
                </w:p>
              </w:tc>
              <w:tc>
                <w:tcPr>
                  <w:tcW w:w="873" w:type="pct"/>
                  <w:vAlign w:val="center"/>
                </w:tcPr>
                <w:p>
                  <w:pPr>
                    <w:jc w:val="center"/>
                    <w:rPr>
                      <w:rFonts w:hint="default"/>
                      <w:bCs/>
                      <w:color w:val="000000" w:themeColor="text1"/>
                      <w:sz w:val="21"/>
                      <w:szCs w:val="21"/>
                      <w:highlight w:val="none"/>
                      <w:lang w:val="en-US"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35" w:type="pct"/>
                  <w:vMerge w:val="continue"/>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06" w:type="pct"/>
                  <w:vMerge w:val="continue"/>
                  <w:vAlign w:val="center"/>
                </w:tcPr>
                <w:p>
                  <w:pPr>
                    <w:adjustRightInd w:val="0"/>
                    <w:snapToGrid w:val="0"/>
                    <w:spacing w:line="240" w:lineRule="atLeast"/>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662"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设置5间动物实验室，分布于19F、20F</w:t>
                  </w:r>
                </w:p>
              </w:tc>
              <w:tc>
                <w:tcPr>
                  <w:tcW w:w="1622"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设置5间动物实验室，分布于19F、20F</w:t>
                  </w:r>
                </w:p>
              </w:tc>
              <w:tc>
                <w:tcPr>
                  <w:tcW w:w="873" w:type="pct"/>
                  <w:vAlign w:val="center"/>
                </w:tcPr>
                <w:p>
                  <w:pPr>
                    <w:jc w:val="center"/>
                    <w:rPr>
                      <w:rFonts w:hint="eastAsia"/>
                      <w:bCs/>
                      <w:color w:val="000000" w:themeColor="text1"/>
                      <w:sz w:val="21"/>
                      <w:szCs w:val="21"/>
                      <w:highlight w:val="none"/>
                      <w:lang w:val="en-US"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5" w:type="pct"/>
                  <w:vMerge w:val="continue"/>
                  <w:vAlign w:val="center"/>
                </w:tcPr>
                <w:p>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06" w:type="pct"/>
                  <w:vMerge w:val="continue"/>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1662"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设置2间细胞实验室（P1），位于17F、18F</w:t>
                  </w:r>
                </w:p>
              </w:tc>
              <w:tc>
                <w:tcPr>
                  <w:tcW w:w="1622"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设置2间细胞实验室（P1），位于17F、18F</w:t>
                  </w:r>
                </w:p>
              </w:tc>
              <w:tc>
                <w:tcPr>
                  <w:tcW w:w="873" w:type="pct"/>
                  <w:vAlign w:val="center"/>
                </w:tcPr>
                <w:p>
                  <w:pPr>
                    <w:jc w:val="center"/>
                    <w:rPr>
                      <w:rFonts w:hint="default"/>
                      <w:bCs/>
                      <w:color w:val="000000" w:themeColor="text1"/>
                      <w:sz w:val="21"/>
                      <w:szCs w:val="21"/>
                      <w:highlight w:val="none"/>
                      <w:lang w:val="en-US"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335" w:type="pct"/>
                  <w:vMerge w:val="restart"/>
                  <w:vAlign w:val="center"/>
                </w:tcPr>
                <w:p>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辅助工程</w:t>
                  </w:r>
                </w:p>
              </w:tc>
              <w:tc>
                <w:tcPr>
                  <w:tcW w:w="506"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资料室</w:t>
                  </w:r>
                </w:p>
              </w:tc>
              <w:tc>
                <w:tcPr>
                  <w:tcW w:w="1662"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储存档案、资料，位于17F</w:t>
                  </w:r>
                </w:p>
              </w:tc>
              <w:tc>
                <w:tcPr>
                  <w:tcW w:w="1622"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储存档案、资料，位于17F</w:t>
                  </w:r>
                </w:p>
              </w:tc>
              <w:tc>
                <w:tcPr>
                  <w:tcW w:w="873" w:type="pct"/>
                  <w:vAlign w:val="center"/>
                </w:tcPr>
                <w:p>
                  <w:pPr>
                    <w:jc w:val="center"/>
                    <w:rPr>
                      <w:rFonts w:hint="default"/>
                      <w:bCs/>
                      <w:color w:val="000000" w:themeColor="text1"/>
                      <w:sz w:val="21"/>
                      <w:szCs w:val="21"/>
                      <w:highlight w:val="none"/>
                      <w:lang w:val="en-US"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335" w:type="pct"/>
                  <w:vMerge w:val="continue"/>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06" w:type="pct"/>
                  <w:vAlign w:val="center"/>
                </w:tcPr>
                <w:p>
                  <w:pPr>
                    <w:adjustRightInd w:val="0"/>
                    <w:snapToGrid w:val="0"/>
                    <w:spacing w:line="240" w:lineRule="atLeast"/>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数据处理室</w:t>
                  </w:r>
                </w:p>
              </w:tc>
              <w:tc>
                <w:tcPr>
                  <w:tcW w:w="1662" w:type="pct"/>
                  <w:vAlign w:val="center"/>
                </w:tcPr>
                <w:p>
                  <w:pPr>
                    <w:adjustRightInd w:val="0"/>
                    <w:snapToGrid w:val="0"/>
                    <w:spacing w:line="240" w:lineRule="atLeast"/>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处理实验数据，位于17F</w:t>
                  </w:r>
                </w:p>
              </w:tc>
              <w:tc>
                <w:tcPr>
                  <w:tcW w:w="1622" w:type="pct"/>
                  <w:vAlign w:val="center"/>
                </w:tcPr>
                <w:p>
                  <w:pPr>
                    <w:adjustRightInd w:val="0"/>
                    <w:snapToGrid w:val="0"/>
                    <w:spacing w:line="240" w:lineRule="atLeast"/>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处理实验数据，位于17F</w:t>
                  </w:r>
                </w:p>
              </w:tc>
              <w:tc>
                <w:tcPr>
                  <w:tcW w:w="873" w:type="pct"/>
                  <w:vAlign w:val="center"/>
                </w:tcPr>
                <w:p>
                  <w:pPr>
                    <w:jc w:val="center"/>
                    <w:rPr>
                      <w:rFonts w:hint="default"/>
                      <w:bCs/>
                      <w:color w:val="000000" w:themeColor="text1"/>
                      <w:sz w:val="21"/>
                      <w:szCs w:val="21"/>
                      <w:highlight w:val="none"/>
                      <w:lang w:val="en-US"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335" w:type="pct"/>
                  <w:vMerge w:val="continue"/>
                  <w:vAlign w:val="center"/>
                </w:tcPr>
                <w:p>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06"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会议办公室</w:t>
                  </w:r>
                </w:p>
              </w:tc>
              <w:tc>
                <w:tcPr>
                  <w:tcW w:w="1662"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用于员工办公、开会，位于17F、18F部分区域和21层整层</w:t>
                  </w:r>
                </w:p>
              </w:tc>
              <w:tc>
                <w:tcPr>
                  <w:tcW w:w="1622"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用于员工办公、开会，位于17F、18F部分区域和21层整层</w:t>
                  </w:r>
                </w:p>
              </w:tc>
              <w:tc>
                <w:tcPr>
                  <w:tcW w:w="873" w:type="pct"/>
                  <w:vAlign w:val="center"/>
                </w:tcPr>
                <w:p>
                  <w:pPr>
                    <w:jc w:val="center"/>
                    <w:rPr>
                      <w:rFonts w:hint="default"/>
                      <w:bCs/>
                      <w:color w:val="000000" w:themeColor="text1"/>
                      <w:sz w:val="21"/>
                      <w:szCs w:val="21"/>
                      <w:highlight w:val="none"/>
                      <w:lang w:val="en-US"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335" w:type="pct"/>
                  <w:vMerge w:val="continue"/>
                  <w:vAlign w:val="center"/>
                </w:tcPr>
                <w:p>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06"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解剖间</w:t>
                  </w:r>
                </w:p>
              </w:tc>
              <w:tc>
                <w:tcPr>
                  <w:tcW w:w="1662"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设有手术台，进行动物解剖，位于19F、20F</w:t>
                  </w:r>
                </w:p>
              </w:tc>
              <w:tc>
                <w:tcPr>
                  <w:tcW w:w="1622"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设有手术台，进行动物解剖，位于19F、20F</w:t>
                  </w:r>
                </w:p>
              </w:tc>
              <w:tc>
                <w:tcPr>
                  <w:tcW w:w="873" w:type="pct"/>
                  <w:vAlign w:val="center"/>
                </w:tcPr>
                <w:p>
                  <w:pPr>
                    <w:jc w:val="center"/>
                    <w:rPr>
                      <w:rFonts w:hint="default"/>
                      <w:bCs/>
                      <w:color w:val="000000" w:themeColor="text1"/>
                      <w:sz w:val="21"/>
                      <w:szCs w:val="21"/>
                      <w:highlight w:val="none"/>
                      <w:lang w:val="en-US"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335" w:type="pct"/>
                  <w:vMerge w:val="continue"/>
                  <w:vAlign w:val="center"/>
                </w:tcPr>
                <w:p>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06"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动物检疫室</w:t>
                  </w:r>
                </w:p>
              </w:tc>
              <w:tc>
                <w:tcPr>
                  <w:tcW w:w="1662"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进行动物检疫，筛选不合格动物，位于19F、20F</w:t>
                  </w:r>
                </w:p>
              </w:tc>
              <w:tc>
                <w:tcPr>
                  <w:tcW w:w="1622"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进行动物检疫，筛选不合格动物，位于19F、20F</w:t>
                  </w:r>
                </w:p>
              </w:tc>
              <w:tc>
                <w:tcPr>
                  <w:tcW w:w="873" w:type="pct"/>
                  <w:vAlign w:val="center"/>
                </w:tcPr>
                <w:p>
                  <w:pPr>
                    <w:jc w:val="center"/>
                    <w:rPr>
                      <w:rFonts w:hint="default"/>
                      <w:bCs/>
                      <w:color w:val="000000" w:themeColor="text1"/>
                      <w:sz w:val="21"/>
                      <w:szCs w:val="21"/>
                      <w:highlight w:val="none"/>
                      <w:lang w:val="en-US"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335" w:type="pct"/>
                  <w:vMerge w:val="continue"/>
                  <w:vAlign w:val="center"/>
                </w:tcPr>
                <w:p>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06"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动物隔离室</w:t>
                  </w:r>
                </w:p>
              </w:tc>
              <w:tc>
                <w:tcPr>
                  <w:tcW w:w="1662"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隔离检疫不合格或发病的实验用动物，位于19F</w:t>
                  </w:r>
                </w:p>
              </w:tc>
              <w:tc>
                <w:tcPr>
                  <w:tcW w:w="1622"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隔离检疫不合格或发病的实验用动物，位于19F</w:t>
                  </w:r>
                </w:p>
              </w:tc>
              <w:tc>
                <w:tcPr>
                  <w:tcW w:w="873" w:type="pct"/>
                  <w:vAlign w:val="center"/>
                </w:tcPr>
                <w:p>
                  <w:pPr>
                    <w:jc w:val="center"/>
                    <w:rPr>
                      <w:rFonts w:hint="default"/>
                      <w:bCs/>
                      <w:color w:val="000000" w:themeColor="text1"/>
                      <w:sz w:val="21"/>
                      <w:szCs w:val="21"/>
                      <w:highlight w:val="none"/>
                      <w:lang w:val="en-US"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335" w:type="pct"/>
                  <w:vMerge w:val="continue"/>
                  <w:vAlign w:val="center"/>
                </w:tcPr>
                <w:p>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06"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动物饲养室</w:t>
                  </w:r>
                </w:p>
              </w:tc>
              <w:tc>
                <w:tcPr>
                  <w:tcW w:w="1662"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主要培养犬、兔子、豚鼠、大鼠、小鼠等实验用动物，位于19F、20F</w:t>
                  </w:r>
                </w:p>
              </w:tc>
              <w:tc>
                <w:tcPr>
                  <w:tcW w:w="1622"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主要培养犬、兔子、豚鼠、大鼠、小鼠等实验用动物，位于19F、20F</w:t>
                  </w:r>
                </w:p>
              </w:tc>
              <w:tc>
                <w:tcPr>
                  <w:tcW w:w="873" w:type="pct"/>
                  <w:vAlign w:val="center"/>
                </w:tcPr>
                <w:p>
                  <w:pPr>
                    <w:jc w:val="center"/>
                    <w:rPr>
                      <w:rFonts w:hint="default"/>
                      <w:bCs/>
                      <w:color w:val="000000" w:themeColor="text1"/>
                      <w:sz w:val="21"/>
                      <w:szCs w:val="21"/>
                      <w:highlight w:val="none"/>
                      <w:lang w:val="en-US"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335" w:type="pct"/>
                  <w:vMerge w:val="continue"/>
                  <w:vAlign w:val="center"/>
                </w:tcPr>
                <w:p>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06"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细胞培养室</w:t>
                  </w:r>
                </w:p>
              </w:tc>
              <w:tc>
                <w:tcPr>
                  <w:tcW w:w="1662"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培养实验用细胞位于17F、18F</w:t>
                  </w:r>
                </w:p>
              </w:tc>
              <w:tc>
                <w:tcPr>
                  <w:tcW w:w="1622"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培养实验用细胞位于17F、18F</w:t>
                  </w:r>
                </w:p>
              </w:tc>
              <w:tc>
                <w:tcPr>
                  <w:tcW w:w="873" w:type="pct"/>
                  <w:vAlign w:val="center"/>
                </w:tcPr>
                <w:p>
                  <w:pPr>
                    <w:jc w:val="center"/>
                    <w:rPr>
                      <w:rFonts w:hint="default"/>
                      <w:bCs/>
                      <w:color w:val="000000" w:themeColor="text1"/>
                      <w:sz w:val="21"/>
                      <w:szCs w:val="21"/>
                      <w:highlight w:val="none"/>
                      <w:lang w:val="en-US"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335" w:type="pct"/>
                  <w:vMerge w:val="continue"/>
                  <w:vAlign w:val="center"/>
                </w:tcPr>
                <w:p>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06"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清洗系统</w:t>
                  </w:r>
                </w:p>
              </w:tc>
              <w:tc>
                <w:tcPr>
                  <w:tcW w:w="1662"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笼具清洗区，分布于19F、20F</w:t>
                  </w:r>
                </w:p>
              </w:tc>
              <w:tc>
                <w:tcPr>
                  <w:tcW w:w="1622"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笼具清洗区，分布于19F、20F</w:t>
                  </w:r>
                </w:p>
              </w:tc>
              <w:tc>
                <w:tcPr>
                  <w:tcW w:w="873" w:type="pct"/>
                  <w:vAlign w:val="center"/>
                </w:tcPr>
                <w:p>
                  <w:pPr>
                    <w:jc w:val="center"/>
                    <w:rPr>
                      <w:rFonts w:hint="default"/>
                      <w:bCs/>
                      <w:color w:val="000000" w:themeColor="text1"/>
                      <w:sz w:val="21"/>
                      <w:szCs w:val="21"/>
                      <w:highlight w:val="none"/>
                      <w:lang w:val="en-US"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335" w:type="pct"/>
                  <w:vMerge w:val="continue"/>
                  <w:vAlign w:val="center"/>
                </w:tcPr>
                <w:p>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06"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洗浴间</w:t>
                  </w:r>
                </w:p>
              </w:tc>
              <w:tc>
                <w:tcPr>
                  <w:tcW w:w="1662"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实验人员盥洗区、分布于19F、20F</w:t>
                  </w:r>
                </w:p>
              </w:tc>
              <w:tc>
                <w:tcPr>
                  <w:tcW w:w="1622"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实验人员盥洗区、分布于19F、20F</w:t>
                  </w:r>
                </w:p>
              </w:tc>
              <w:tc>
                <w:tcPr>
                  <w:tcW w:w="873" w:type="pct"/>
                  <w:vAlign w:val="center"/>
                </w:tcPr>
                <w:p>
                  <w:pPr>
                    <w:jc w:val="center"/>
                    <w:rPr>
                      <w:rFonts w:hint="default"/>
                      <w:bCs/>
                      <w:color w:val="000000" w:themeColor="text1"/>
                      <w:sz w:val="21"/>
                      <w:szCs w:val="21"/>
                      <w:highlight w:val="none"/>
                      <w:lang w:val="en-US"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335" w:type="pct"/>
                  <w:vMerge w:val="continue"/>
                  <w:vAlign w:val="center"/>
                </w:tcPr>
                <w:p>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06"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纯水系统</w:t>
                  </w:r>
                </w:p>
              </w:tc>
              <w:tc>
                <w:tcPr>
                  <w:tcW w:w="1662"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设有3台0.5t/h纯水机，分布于17F、18F、20F，提供纯水用于动物实验</w:t>
                  </w:r>
                </w:p>
              </w:tc>
              <w:tc>
                <w:tcPr>
                  <w:tcW w:w="1622"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设有3台0.5t/h纯水机，分布于17F、18F、20F，提供纯水用于动物实验</w:t>
                  </w:r>
                </w:p>
              </w:tc>
              <w:tc>
                <w:tcPr>
                  <w:tcW w:w="873" w:type="pct"/>
                  <w:vAlign w:val="center"/>
                </w:tcPr>
                <w:p>
                  <w:pPr>
                    <w:jc w:val="center"/>
                    <w:rPr>
                      <w:rFonts w:hint="default"/>
                      <w:bCs/>
                      <w:color w:val="000000" w:themeColor="text1"/>
                      <w:sz w:val="21"/>
                      <w:szCs w:val="21"/>
                      <w:highlight w:val="none"/>
                      <w:lang w:val="en-US"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335" w:type="pct"/>
                  <w:vMerge w:val="continue"/>
                  <w:vAlign w:val="center"/>
                </w:tcPr>
                <w:p>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06"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洗衣房</w:t>
                  </w:r>
                </w:p>
              </w:tc>
              <w:tc>
                <w:tcPr>
                  <w:tcW w:w="1662"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设置一台全自动洗脱烘一体机，用于实验服清洗</w:t>
                  </w:r>
                </w:p>
              </w:tc>
              <w:tc>
                <w:tcPr>
                  <w:tcW w:w="1622"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设置一台全自动洗脱烘一体机，用于实验服清洗</w:t>
                  </w:r>
                </w:p>
              </w:tc>
              <w:tc>
                <w:tcPr>
                  <w:tcW w:w="873" w:type="pct"/>
                  <w:vAlign w:val="center"/>
                </w:tcPr>
                <w:p>
                  <w:pPr>
                    <w:jc w:val="center"/>
                    <w:rPr>
                      <w:rFonts w:hint="default"/>
                      <w:bCs/>
                      <w:color w:val="000000" w:themeColor="text1"/>
                      <w:sz w:val="21"/>
                      <w:szCs w:val="21"/>
                      <w:highlight w:val="none"/>
                      <w:lang w:val="en-US"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335" w:type="pct"/>
                  <w:vMerge w:val="continue"/>
                  <w:vAlign w:val="center"/>
                </w:tcPr>
                <w:p>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06"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灭菌系统</w:t>
                  </w:r>
                </w:p>
              </w:tc>
              <w:tc>
                <w:tcPr>
                  <w:tcW w:w="1662"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利用高温高压对实验器材、实验服和实验废弃物进行灭菌处理</w:t>
                  </w:r>
                </w:p>
              </w:tc>
              <w:tc>
                <w:tcPr>
                  <w:tcW w:w="1622"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利用高温高压对实验器材、实验服和实验废弃物进行灭菌处理</w:t>
                  </w:r>
                </w:p>
              </w:tc>
              <w:tc>
                <w:tcPr>
                  <w:tcW w:w="873" w:type="pct"/>
                  <w:vAlign w:val="center"/>
                </w:tcPr>
                <w:p>
                  <w:pPr>
                    <w:jc w:val="center"/>
                    <w:rPr>
                      <w:rFonts w:hint="default"/>
                      <w:bCs/>
                      <w:color w:val="000000" w:themeColor="text1"/>
                      <w:sz w:val="21"/>
                      <w:szCs w:val="21"/>
                      <w:highlight w:val="none"/>
                      <w:lang w:val="en-US"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35" w:type="pct"/>
                  <w:vMerge w:val="restart"/>
                  <w:vAlign w:val="center"/>
                </w:tcPr>
                <w:p>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储运工程</w:t>
                  </w:r>
                </w:p>
              </w:tc>
              <w:tc>
                <w:tcPr>
                  <w:tcW w:w="506"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仓库</w:t>
                  </w:r>
                </w:p>
              </w:tc>
              <w:tc>
                <w:tcPr>
                  <w:tcW w:w="1662"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贮存化学试剂、耗材、饲料，17F至20F均有设置</w:t>
                  </w:r>
                </w:p>
              </w:tc>
              <w:tc>
                <w:tcPr>
                  <w:tcW w:w="1622"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贮存化学试剂、耗材、饲料，17F至20F均有设置</w:t>
                  </w:r>
                </w:p>
              </w:tc>
              <w:tc>
                <w:tcPr>
                  <w:tcW w:w="873" w:type="pct"/>
                  <w:vAlign w:val="center"/>
                </w:tcPr>
                <w:p>
                  <w:pPr>
                    <w:jc w:val="center"/>
                    <w:rPr>
                      <w:rFonts w:hint="eastAsia"/>
                      <w:bCs/>
                      <w:color w:val="000000" w:themeColor="text1"/>
                      <w:sz w:val="21"/>
                      <w:szCs w:val="21"/>
                      <w:highlight w:val="none"/>
                      <w:lang w:val="en-US"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35" w:type="pct"/>
                  <w:vMerge w:val="continue"/>
                  <w:vAlign w:val="center"/>
                </w:tcPr>
                <w:p>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06"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洁库</w:t>
                  </w:r>
                </w:p>
              </w:tc>
              <w:tc>
                <w:tcPr>
                  <w:tcW w:w="1662"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存放干净的笼具、垫料等，位于19F、20F</w:t>
                  </w:r>
                </w:p>
              </w:tc>
              <w:tc>
                <w:tcPr>
                  <w:tcW w:w="1622"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存放干净的笼具、垫料等，位于19F、20F</w:t>
                  </w:r>
                </w:p>
              </w:tc>
              <w:tc>
                <w:tcPr>
                  <w:tcW w:w="873" w:type="pct"/>
                  <w:vAlign w:val="center"/>
                </w:tcPr>
                <w:p>
                  <w:pPr>
                    <w:jc w:val="center"/>
                    <w:rPr>
                      <w:rFonts w:hint="eastAsia"/>
                      <w:bCs/>
                      <w:color w:val="000000" w:themeColor="text1"/>
                      <w:sz w:val="21"/>
                      <w:szCs w:val="21"/>
                      <w:highlight w:val="none"/>
                      <w:lang w:val="en-US"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35" w:type="pct"/>
                  <w:vMerge w:val="continue"/>
                  <w:vAlign w:val="center"/>
                </w:tcPr>
                <w:p>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06"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仪器室</w:t>
                  </w:r>
                </w:p>
              </w:tc>
              <w:tc>
                <w:tcPr>
                  <w:tcW w:w="1662"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储存实验设备，位于17F、18F</w:t>
                  </w:r>
                </w:p>
              </w:tc>
              <w:tc>
                <w:tcPr>
                  <w:tcW w:w="1622"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储存实验设备，位于17F、18F</w:t>
                  </w:r>
                </w:p>
              </w:tc>
              <w:tc>
                <w:tcPr>
                  <w:tcW w:w="873" w:type="pct"/>
                  <w:vAlign w:val="center"/>
                </w:tcPr>
                <w:p>
                  <w:pPr>
                    <w:jc w:val="center"/>
                    <w:rPr>
                      <w:rFonts w:hint="eastAsia"/>
                      <w:bCs/>
                      <w:color w:val="000000" w:themeColor="text1"/>
                      <w:sz w:val="21"/>
                      <w:szCs w:val="21"/>
                      <w:highlight w:val="none"/>
                      <w:lang w:val="en-US"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restart"/>
                  <w:vAlign w:val="center"/>
                </w:tcPr>
                <w:p>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公用</w:t>
                  </w:r>
                </w:p>
                <w:p>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工程</w:t>
                  </w:r>
                </w:p>
              </w:tc>
              <w:tc>
                <w:tcPr>
                  <w:tcW w:w="506"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供水</w:t>
                  </w:r>
                </w:p>
              </w:tc>
              <w:tc>
                <w:tcPr>
                  <w:tcW w:w="1662"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市政供水管网</w:t>
                  </w:r>
                </w:p>
              </w:tc>
              <w:tc>
                <w:tcPr>
                  <w:tcW w:w="1622"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市政供水管网</w:t>
                  </w:r>
                </w:p>
              </w:tc>
              <w:tc>
                <w:tcPr>
                  <w:tcW w:w="873" w:type="pct"/>
                  <w:vAlign w:val="center"/>
                </w:tcPr>
                <w:p>
                  <w:pPr>
                    <w:jc w:val="center"/>
                    <w:rPr>
                      <w:rFonts w:hint="eastAsia"/>
                      <w:bCs/>
                      <w:color w:val="000000" w:themeColor="text1"/>
                      <w:sz w:val="21"/>
                      <w:szCs w:val="21"/>
                      <w:highlight w:val="none"/>
                      <w:lang w:val="en-US"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continue"/>
                  <w:vAlign w:val="center"/>
                </w:tcPr>
                <w:p>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06"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供电</w:t>
                  </w:r>
                </w:p>
              </w:tc>
              <w:tc>
                <w:tcPr>
                  <w:tcW w:w="1662"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市政供电管网</w:t>
                  </w:r>
                </w:p>
              </w:tc>
              <w:tc>
                <w:tcPr>
                  <w:tcW w:w="1622"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市政供电管网</w:t>
                  </w:r>
                </w:p>
              </w:tc>
              <w:tc>
                <w:tcPr>
                  <w:tcW w:w="873" w:type="pct"/>
                  <w:vAlign w:val="center"/>
                </w:tcPr>
                <w:p>
                  <w:pPr>
                    <w:jc w:val="center"/>
                    <w:rPr>
                      <w:rFonts w:hint="eastAsia"/>
                      <w:bCs/>
                      <w:color w:val="000000" w:themeColor="text1"/>
                      <w:sz w:val="21"/>
                      <w:szCs w:val="21"/>
                      <w:highlight w:val="none"/>
                      <w:lang w:val="en-US"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continue"/>
                  <w:vAlign w:val="center"/>
                </w:tcPr>
                <w:p>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06"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排水</w:t>
                  </w:r>
                </w:p>
              </w:tc>
              <w:tc>
                <w:tcPr>
                  <w:tcW w:w="1662"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雨污分流，雨水排入市政雨水管网，污水经预处理达标后，由市政污水管网排入瑶湖污水处理厂进一步，最终排入赣江南支</w:t>
                  </w:r>
                </w:p>
              </w:tc>
              <w:tc>
                <w:tcPr>
                  <w:tcW w:w="1622" w:type="pct"/>
                  <w:vAlign w:val="center"/>
                </w:tcPr>
                <w:p>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雨污分流，雨水排入市政雨水管网，污水经预处理达标后，由市政污水管网排入瑶湖污水处理厂进一步，最终排入赣江南支</w:t>
                  </w:r>
                </w:p>
              </w:tc>
              <w:tc>
                <w:tcPr>
                  <w:tcW w:w="873" w:type="pct"/>
                  <w:vAlign w:val="center"/>
                </w:tcPr>
                <w:p>
                  <w:pPr>
                    <w:jc w:val="center"/>
                    <w:rPr>
                      <w:rFonts w:hint="eastAsia"/>
                      <w:bCs/>
                      <w:color w:val="000000" w:themeColor="text1"/>
                      <w:sz w:val="21"/>
                      <w:szCs w:val="21"/>
                      <w:highlight w:val="none"/>
                      <w:lang w:val="en-US"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335" w:type="pct"/>
                  <w:vMerge w:val="restart"/>
                  <w:vAlign w:val="center"/>
                </w:tcPr>
                <w:p>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环保</w:t>
                  </w:r>
                </w:p>
                <w:p>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工程</w:t>
                  </w:r>
                </w:p>
              </w:tc>
              <w:tc>
                <w:tcPr>
                  <w:tcW w:w="506" w:type="pct"/>
                  <w:vMerge w:val="restart"/>
                  <w:vAlign w:val="center"/>
                </w:tcPr>
                <w:p>
                  <w:pPr>
                    <w:adjustRightInd w:val="0"/>
                    <w:snapToGrid w:val="0"/>
                    <w:spacing w:line="240" w:lineRule="atLeast"/>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废水</w:t>
                  </w:r>
                </w:p>
              </w:tc>
              <w:tc>
                <w:tcPr>
                  <w:tcW w:w="1662" w:type="pct"/>
                  <w:vAlign w:val="center"/>
                </w:tcPr>
                <w:p>
                  <w:pPr>
                    <w:adjustRightInd w:val="0"/>
                    <w:snapToGrid w:val="0"/>
                    <w:spacing w:line="240" w:lineRule="atLeast"/>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清洗废水经“污水调节+厌氧生化+兼氧生化+好氧生化+沉淀池+消毒池”（2m</w:t>
                  </w:r>
                  <w:r>
                    <w:rPr>
                      <w:rFonts w:hint="default" w:ascii="Times New Roman" w:hAnsi="Times New Roman" w:eastAsia="宋体" w:cs="Times New Roman"/>
                      <w:color w:val="000000" w:themeColor="text1"/>
                      <w:kern w:val="0"/>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/d）组合工艺预处理，地面拖洗废水和生活污水经化粪池预处理（4m</w:t>
                  </w:r>
                  <w:r>
                    <w:rPr>
                      <w:rFonts w:hint="default" w:ascii="Times New Roman" w:hAnsi="Times New Roman" w:eastAsia="宋体" w:cs="Times New Roman"/>
                      <w:color w:val="000000" w:themeColor="text1"/>
                      <w:kern w:val="0"/>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/d），一并汇入市政污水管网</w:t>
                  </w:r>
                </w:p>
              </w:tc>
              <w:tc>
                <w:tcPr>
                  <w:tcW w:w="1622" w:type="pct"/>
                  <w:vAlign w:val="center"/>
                </w:tcPr>
                <w:p>
                  <w:pPr>
                    <w:adjustRightInd w:val="0"/>
                    <w:snapToGrid w:val="0"/>
                    <w:spacing w:line="240" w:lineRule="atLeas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清洗废水经“污水调节+厌氧生化+兼氧生化+好氧生化+沉淀池+消毒池”（2m</w:t>
                  </w:r>
                  <w:r>
                    <w:rPr>
                      <w:rFonts w:hint="default" w:ascii="Times New Roman" w:hAnsi="Times New Roman" w:eastAsia="宋体" w:cs="Times New Roman"/>
                      <w:color w:val="000000" w:themeColor="text1"/>
                      <w:kern w:val="0"/>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/d）组合工艺预处理，地面拖洗废水和生活污水经化粪池预处理（4m</w:t>
                  </w:r>
                  <w:r>
                    <w:rPr>
                      <w:rFonts w:hint="default" w:ascii="Times New Roman" w:hAnsi="Times New Roman" w:eastAsia="宋体" w:cs="Times New Roman"/>
                      <w:color w:val="000000" w:themeColor="text1"/>
                      <w:kern w:val="0"/>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/d），一并汇入市政污水管网</w:t>
                  </w:r>
                </w:p>
              </w:tc>
              <w:tc>
                <w:tcPr>
                  <w:tcW w:w="873" w:type="pct"/>
                  <w:vAlign w:val="center"/>
                </w:tcPr>
                <w:p>
                  <w:pPr>
                    <w:jc w:val="center"/>
                    <w:rPr>
                      <w:rFonts w:hint="eastAsia"/>
                      <w:color w:val="000000" w:themeColor="text1"/>
                      <w:highlight w:val="none"/>
                      <w:lang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335" w:type="pct"/>
                  <w:vMerge w:val="continue"/>
                  <w:vAlign w:val="center"/>
                </w:tcPr>
                <w:p>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06" w:type="pct"/>
                  <w:vMerge w:val="continue"/>
                  <w:vAlign w:val="center"/>
                </w:tcPr>
                <w:p>
                  <w:pPr>
                    <w:adjustRightInd w:val="0"/>
                    <w:snapToGrid w:val="0"/>
                    <w:spacing w:line="240" w:lineRule="atLeast"/>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662" w:type="pct"/>
                  <w:vAlign w:val="center"/>
                </w:tcPr>
                <w:p>
                  <w:pPr>
                    <w:adjustRightInd w:val="0"/>
                    <w:snapToGrid w:val="0"/>
                    <w:spacing w:line="240" w:lineRule="atLeast"/>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清下水（纯水制备废水）直接入市政污水管网</w:t>
                  </w:r>
                </w:p>
              </w:tc>
              <w:tc>
                <w:tcPr>
                  <w:tcW w:w="1622" w:type="pct"/>
                  <w:vAlign w:val="center"/>
                </w:tcPr>
                <w:p>
                  <w:pPr>
                    <w:adjustRightInd w:val="0"/>
                    <w:snapToGrid w:val="0"/>
                    <w:spacing w:line="240" w:lineRule="atLeast"/>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清下水（纯水制备废水）直接入市政污水管网</w:t>
                  </w:r>
                </w:p>
              </w:tc>
              <w:tc>
                <w:tcPr>
                  <w:tcW w:w="873" w:type="pct"/>
                  <w:vAlign w:val="center"/>
                </w:tcPr>
                <w:p>
                  <w:pPr>
                    <w:jc w:val="center"/>
                    <w:rPr>
                      <w:rFonts w:hint="eastAsia"/>
                      <w:color w:val="000000" w:themeColor="text1"/>
                      <w:highlight w:val="none"/>
                      <w:lang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35" w:type="pct"/>
                  <w:vMerge w:val="continue"/>
                  <w:vAlign w:val="center"/>
                </w:tcPr>
                <w:p>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06" w:type="pct"/>
                  <w:vMerge w:val="restart"/>
                  <w:vAlign w:val="center"/>
                </w:tcPr>
                <w:p>
                  <w:pPr>
                    <w:adjustRightInd w:val="0"/>
                    <w:snapToGrid w:val="0"/>
                    <w:spacing w:line="240" w:lineRule="atLeast"/>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废气</w:t>
                  </w:r>
                </w:p>
              </w:tc>
              <w:tc>
                <w:tcPr>
                  <w:tcW w:w="1662" w:type="pct"/>
                  <w:vAlign w:val="center"/>
                </w:tcPr>
                <w:p>
                  <w:pPr>
                    <w:adjustRightInd w:val="0"/>
                    <w:snapToGrid w:val="0"/>
                    <w:spacing w:line="240" w:lineRule="atLeas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动物实验室内废气经室内负压收集后于楼顶63m高排气筒（DA001）排放。</w:t>
                  </w:r>
                </w:p>
              </w:tc>
              <w:tc>
                <w:tcPr>
                  <w:tcW w:w="1622" w:type="pct"/>
                  <w:vAlign w:val="center"/>
                </w:tcPr>
                <w:p>
                  <w:pPr>
                    <w:adjustRightInd w:val="0"/>
                    <w:snapToGrid w:val="0"/>
                    <w:spacing w:line="240" w:lineRule="atLeas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动物实验室内废气经室内负压收集后于楼顶</w:t>
                  </w:r>
                  <w:r>
                    <w:rPr>
                      <w:rFonts w:hint="eastAsia" w:cs="Times New Roman"/>
                      <w:color w:val="000000" w:themeColor="text1"/>
                      <w:kern w:val="0"/>
                      <w:sz w:val="21"/>
                      <w:szCs w:val="21"/>
                      <w:highlight w:val="none"/>
                      <w:lang w:val="en-US" w:eastAsia="zh-CN"/>
                      <w14:textFill>
                        <w14:solidFill>
                          <w14:schemeClr w14:val="tx1"/>
                        </w14:solidFill>
                      </w14:textFill>
                    </w:rPr>
                    <w:t>70</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m高排气筒（DA001）排放。</w:t>
                  </w:r>
                </w:p>
              </w:tc>
              <w:tc>
                <w:tcPr>
                  <w:tcW w:w="873" w:type="pct"/>
                  <w:vAlign w:val="center"/>
                </w:tcPr>
                <w:p>
                  <w:pPr>
                    <w:jc w:val="center"/>
                    <w:rPr>
                      <w:rFonts w:hint="eastAsia"/>
                      <w:color w:val="000000" w:themeColor="text1"/>
                      <w:highlight w:val="none"/>
                      <w:lang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35" w:type="pct"/>
                  <w:vMerge w:val="continue"/>
                  <w:vAlign w:val="center"/>
                </w:tcPr>
                <w:p>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06" w:type="pct"/>
                  <w:vMerge w:val="continue"/>
                  <w:vAlign w:val="center"/>
                </w:tcPr>
                <w:p>
                  <w:pPr>
                    <w:adjustRightInd w:val="0"/>
                    <w:snapToGrid w:val="0"/>
                    <w:spacing w:line="240" w:lineRule="atLeast"/>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662" w:type="pct"/>
                  <w:vAlign w:val="center"/>
                </w:tcPr>
                <w:p>
                  <w:pPr>
                    <w:adjustRightInd w:val="0"/>
                    <w:snapToGrid w:val="0"/>
                    <w:spacing w:line="240" w:lineRule="atLeast"/>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常规前处理废气和醇提废气经过通风橱收集后于楼顶63m高排气筒（DA002）排放。</w:t>
                  </w:r>
                </w:p>
              </w:tc>
              <w:tc>
                <w:tcPr>
                  <w:tcW w:w="1622" w:type="pct"/>
                  <w:vAlign w:val="center"/>
                </w:tcPr>
                <w:p>
                  <w:pPr>
                    <w:adjustRightInd w:val="0"/>
                    <w:snapToGrid w:val="0"/>
                    <w:spacing w:line="240" w:lineRule="atLeas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常规前处理废气和醇提废气经过通风橱收集后于楼顶</w:t>
                  </w:r>
                  <w:r>
                    <w:rPr>
                      <w:rFonts w:hint="eastAsia" w:cs="Times New Roman"/>
                      <w:color w:val="000000" w:themeColor="text1"/>
                      <w:kern w:val="0"/>
                      <w:sz w:val="21"/>
                      <w:szCs w:val="21"/>
                      <w:highlight w:val="none"/>
                      <w:lang w:val="en-US" w:eastAsia="zh-CN"/>
                      <w14:textFill>
                        <w14:solidFill>
                          <w14:schemeClr w14:val="tx1"/>
                        </w14:solidFill>
                      </w14:textFill>
                    </w:rPr>
                    <w:t>70</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m高排气筒（DA002）排放。</w:t>
                  </w:r>
                </w:p>
              </w:tc>
              <w:tc>
                <w:tcPr>
                  <w:tcW w:w="873" w:type="pct"/>
                  <w:vAlign w:val="center"/>
                </w:tcPr>
                <w:p>
                  <w:pPr>
                    <w:jc w:val="center"/>
                    <w:rPr>
                      <w:rFonts w:hint="eastAsia"/>
                      <w:color w:val="000000" w:themeColor="text1"/>
                      <w:highlight w:val="none"/>
                      <w:lang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335" w:type="pct"/>
                  <w:vMerge w:val="continue"/>
                  <w:vAlign w:val="center"/>
                </w:tcPr>
                <w:p>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06" w:type="pct"/>
                  <w:vAlign w:val="center"/>
                </w:tcPr>
                <w:p>
                  <w:pPr>
                    <w:adjustRightInd w:val="0"/>
                    <w:snapToGrid w:val="0"/>
                    <w:spacing w:line="240" w:lineRule="atLeast"/>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噪声</w:t>
                  </w:r>
                </w:p>
              </w:tc>
              <w:tc>
                <w:tcPr>
                  <w:tcW w:w="1662" w:type="pct"/>
                  <w:vAlign w:val="center"/>
                </w:tcPr>
                <w:p>
                  <w:pPr>
                    <w:adjustRightInd w:val="0"/>
                    <w:snapToGrid w:val="0"/>
                    <w:spacing w:line="240" w:lineRule="atLeast"/>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减震隔声</w:t>
                  </w:r>
                </w:p>
              </w:tc>
              <w:tc>
                <w:tcPr>
                  <w:tcW w:w="1622" w:type="pct"/>
                  <w:vAlign w:val="center"/>
                </w:tcPr>
                <w:p>
                  <w:pPr>
                    <w:adjustRightInd w:val="0"/>
                    <w:snapToGrid w:val="0"/>
                    <w:spacing w:line="240" w:lineRule="atLeas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减震隔声</w:t>
                  </w:r>
                </w:p>
              </w:tc>
              <w:tc>
                <w:tcPr>
                  <w:tcW w:w="873" w:type="pct"/>
                  <w:vAlign w:val="center"/>
                </w:tcPr>
                <w:p>
                  <w:pPr>
                    <w:jc w:val="center"/>
                    <w:rPr>
                      <w:rFonts w:hint="default"/>
                      <w:color w:val="000000" w:themeColor="text1"/>
                      <w:highlight w:val="none"/>
                      <w:lang w:val="en-US"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335" w:type="pct"/>
                  <w:vMerge w:val="continue"/>
                  <w:vAlign w:val="center"/>
                </w:tcPr>
                <w:p>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06" w:type="pct"/>
                  <w:vAlign w:val="center"/>
                </w:tcPr>
                <w:p>
                  <w:pPr>
                    <w:adjustRightInd w:val="0"/>
                    <w:snapToGrid w:val="0"/>
                    <w:spacing w:line="240" w:lineRule="atLeast"/>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color w:val="000000"/>
                      <w:kern w:val="0"/>
                      <w:sz w:val="18"/>
                      <w:szCs w:val="18"/>
                      <w:highlight w:val="none"/>
                    </w:rPr>
                    <w:t>固废</w:t>
                  </w:r>
                </w:p>
              </w:tc>
              <w:tc>
                <w:tcPr>
                  <w:tcW w:w="1662" w:type="pct"/>
                  <w:vAlign w:val="center"/>
                </w:tcPr>
                <w:p>
                  <w:pPr>
                    <w:adjustRightInd w:val="0"/>
                    <w:snapToGrid w:val="0"/>
                    <w:spacing w:line="240" w:lineRule="atLeast"/>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设置危废暂存间（位于18F，10m</w:t>
                  </w:r>
                  <w:r>
                    <w:rPr>
                      <w:rFonts w:hint="default" w:ascii="Times New Roman" w:hAnsi="Times New Roman" w:eastAsia="宋体" w:cs="Times New Roman"/>
                      <w:color w:val="000000" w:themeColor="text1"/>
                      <w:kern w:val="0"/>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）、一般固废间（位于18F，10m</w:t>
                  </w:r>
                  <w:r>
                    <w:rPr>
                      <w:rFonts w:hint="default" w:ascii="Times New Roman" w:hAnsi="Times New Roman" w:eastAsia="宋体" w:cs="Times New Roman"/>
                      <w:color w:val="000000" w:themeColor="text1"/>
                      <w:kern w:val="0"/>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）和动物尸体</w:t>
                  </w:r>
                  <w:r>
                    <w:rPr>
                      <w:rFonts w:hint="eastAsia" w:ascii="Times New Roman" w:hAnsi="Times New Roman" w:eastAsia="宋体" w:cs="Times New Roman"/>
                      <w:color w:val="000000" w:themeColor="text1"/>
                      <w:kern w:val="0"/>
                      <w:sz w:val="21"/>
                      <w:szCs w:val="21"/>
                      <w:highlight w:val="none"/>
                      <w14:textFill>
                        <w14:solidFill>
                          <w14:schemeClr w14:val="tx1"/>
                        </w14:solidFill>
                      </w14:textFill>
                    </w:rPr>
                    <w:t>暂存</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房（位于20F，50m</w:t>
                  </w:r>
                  <w:r>
                    <w:rPr>
                      <w:rFonts w:hint="default" w:ascii="Times New Roman" w:hAnsi="Times New Roman" w:eastAsia="宋体" w:cs="Times New Roman"/>
                      <w:color w:val="000000" w:themeColor="text1"/>
                      <w:kern w:val="0"/>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tc>
              <w:tc>
                <w:tcPr>
                  <w:tcW w:w="1622" w:type="pct"/>
                  <w:vAlign w:val="center"/>
                </w:tcPr>
                <w:p>
                  <w:pPr>
                    <w:adjustRightInd w:val="0"/>
                    <w:snapToGrid w:val="0"/>
                    <w:spacing w:line="240" w:lineRule="atLeast"/>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设置危废暂存间（位于1</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F，10m</w:t>
                  </w:r>
                  <w:r>
                    <w:rPr>
                      <w:rFonts w:hint="default" w:ascii="Times New Roman" w:hAnsi="Times New Roman" w:eastAsia="宋体" w:cs="Times New Roman"/>
                      <w:color w:val="000000" w:themeColor="text1"/>
                      <w:kern w:val="0"/>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）、一般固废间（位于18F，10m</w:t>
                  </w:r>
                  <w:r>
                    <w:rPr>
                      <w:rFonts w:hint="default" w:ascii="Times New Roman" w:hAnsi="Times New Roman" w:eastAsia="宋体" w:cs="Times New Roman"/>
                      <w:color w:val="000000" w:themeColor="text1"/>
                      <w:kern w:val="0"/>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）和动物尸体</w:t>
                  </w:r>
                  <w:r>
                    <w:rPr>
                      <w:rFonts w:hint="eastAsia" w:ascii="Times New Roman" w:hAnsi="Times New Roman" w:eastAsia="宋体" w:cs="Times New Roman"/>
                      <w:color w:val="000000" w:themeColor="text1"/>
                      <w:kern w:val="0"/>
                      <w:sz w:val="21"/>
                      <w:szCs w:val="21"/>
                      <w:highlight w:val="none"/>
                      <w14:textFill>
                        <w14:solidFill>
                          <w14:schemeClr w14:val="tx1"/>
                        </w14:solidFill>
                      </w14:textFill>
                    </w:rPr>
                    <w:t>暂存</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房（位于20F，50m</w:t>
                  </w:r>
                  <w:r>
                    <w:rPr>
                      <w:rFonts w:hint="default" w:ascii="Times New Roman" w:hAnsi="Times New Roman" w:eastAsia="宋体" w:cs="Times New Roman"/>
                      <w:color w:val="000000" w:themeColor="text1"/>
                      <w:kern w:val="0"/>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tc>
              <w:tc>
                <w:tcPr>
                  <w:tcW w:w="873" w:type="pct"/>
                  <w:vAlign w:val="center"/>
                </w:tcPr>
                <w:p>
                  <w:pPr>
                    <w:jc w:val="center"/>
                    <w:rPr>
                      <w:rFonts w:hint="default"/>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危废间由18F变为17F</w:t>
                  </w:r>
                </w:p>
              </w:tc>
            </w:tr>
          </w:tbl>
          <w:p>
            <w:pPr>
              <w:pStyle w:val="88"/>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3</w:t>
            </w:r>
            <w:r>
              <w:rPr>
                <w:rFonts w:hint="eastAsia"/>
                <w:color w:val="000000" w:themeColor="text1"/>
                <w:szCs w:val="24"/>
                <w14:textFill>
                  <w14:solidFill>
                    <w14:schemeClr w14:val="tx1"/>
                  </w14:solidFill>
                </w14:textFill>
              </w:rPr>
              <w:t>）劳动定员及工作制度</w:t>
            </w:r>
          </w:p>
          <w:p>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rPr>
                <w:rFonts w:hint="default" w:eastAsia="宋体"/>
                <w:color w:val="000000" w:themeColor="text1"/>
                <w:sz w:val="24"/>
                <w:szCs w:val="24"/>
                <w:lang w:val="en-US" w:eastAsia="zh-CN"/>
                <w14:textFill>
                  <w14:solidFill>
                    <w14:schemeClr w14:val="tx1"/>
                  </w14:solidFill>
                </w14:textFill>
              </w:rPr>
            </w:pPr>
            <w:r>
              <w:rPr>
                <w:color w:val="000000" w:themeColor="text1"/>
                <w:sz w:val="24"/>
                <w:szCs w:val="24"/>
                <w14:textFill>
                  <w14:solidFill>
                    <w14:schemeClr w14:val="tx1"/>
                  </w14:solidFill>
                </w14:textFill>
              </w:rPr>
              <w:t>本项目劳动定员</w:t>
            </w:r>
            <w:r>
              <w:rPr>
                <w:rFonts w:hint="eastAsia"/>
                <w:color w:val="000000" w:themeColor="text1"/>
                <w:sz w:val="24"/>
                <w:szCs w:val="24"/>
                <w:lang w:val="en-US" w:eastAsia="zh-CN"/>
                <w14:textFill>
                  <w14:solidFill>
                    <w14:schemeClr w14:val="tx1"/>
                  </w14:solidFill>
                </w14:textFill>
              </w:rPr>
              <w:t>31</w:t>
            </w:r>
            <w:r>
              <w:rPr>
                <w:color w:val="000000" w:themeColor="text1"/>
                <w:sz w:val="24"/>
                <w:szCs w:val="24"/>
                <w14:textFill>
                  <w14:solidFill>
                    <w14:schemeClr w14:val="tx1"/>
                  </w14:solidFill>
                </w14:textFill>
              </w:rPr>
              <w:t>人</w:t>
            </w:r>
            <w:r>
              <w:rPr>
                <w:rFonts w:hint="eastAsia"/>
                <w:color w:val="000000" w:themeColor="text1"/>
                <w:sz w:val="24"/>
                <w:szCs w:val="24"/>
                <w14:textFill>
                  <w14:solidFill>
                    <w14:schemeClr w14:val="tx1"/>
                  </w14:solidFill>
                </w14:textFill>
              </w:rPr>
              <w:t>，员工工作</w:t>
            </w:r>
            <w:r>
              <w:rPr>
                <w:rFonts w:hint="eastAsia"/>
                <w:color w:val="000000" w:themeColor="text1"/>
                <w:sz w:val="24"/>
                <w:szCs w:val="24"/>
                <w:lang w:val="en-US" w:eastAsia="zh-CN"/>
                <w14:textFill>
                  <w14:solidFill>
                    <w14:schemeClr w14:val="tx1"/>
                  </w14:solidFill>
                </w14:textFill>
              </w:rPr>
              <w:t>300</w:t>
            </w:r>
            <w:r>
              <w:rPr>
                <w:color w:val="000000" w:themeColor="text1"/>
                <w:sz w:val="24"/>
                <w:szCs w:val="24"/>
                <w14:textFill>
                  <w14:solidFill>
                    <w14:schemeClr w14:val="tx1"/>
                  </w14:solidFill>
                </w14:textFill>
              </w:rPr>
              <w:t>天，</w:t>
            </w:r>
            <w:r>
              <w:rPr>
                <w:rFonts w:hint="eastAsia"/>
                <w:color w:val="000000" w:themeColor="text1"/>
                <w:sz w:val="24"/>
                <w:szCs w:val="24"/>
                <w:lang w:eastAsia="zh-CN"/>
                <w14:textFill>
                  <w14:solidFill>
                    <w14:schemeClr w14:val="tx1"/>
                  </w14:solidFill>
                </w14:textFill>
              </w:rPr>
              <w:t>每天</w:t>
            </w:r>
            <w:r>
              <w:rPr>
                <w:rFonts w:hint="eastAsia"/>
                <w:color w:val="000000" w:themeColor="text1"/>
                <w:sz w:val="24"/>
                <w:szCs w:val="24"/>
                <w:lang w:val="en-US" w:eastAsia="zh-CN"/>
                <w14:textFill>
                  <w14:solidFill>
                    <w14:schemeClr w14:val="tx1"/>
                  </w14:solidFill>
                </w14:textFill>
              </w:rPr>
              <w:t>1</w:t>
            </w:r>
            <w:r>
              <w:rPr>
                <w:rFonts w:hint="eastAsia"/>
                <w:color w:val="000000" w:themeColor="text1"/>
                <w:sz w:val="24"/>
                <w:szCs w:val="24"/>
                <w:lang w:eastAsia="zh-CN"/>
                <w14:textFill>
                  <w14:solidFill>
                    <w14:schemeClr w14:val="tx1"/>
                  </w14:solidFill>
                </w14:textFill>
              </w:rPr>
              <w:t>班，每班</w:t>
            </w:r>
            <w:r>
              <w:rPr>
                <w:color w:val="000000" w:themeColor="text1"/>
                <w:sz w:val="24"/>
                <w:szCs w:val="24"/>
                <w14:textFill>
                  <w14:solidFill>
                    <w14:schemeClr w14:val="tx1"/>
                  </w14:solidFill>
                </w14:textFill>
              </w:rPr>
              <w:t>8小时</w:t>
            </w:r>
            <w:r>
              <w:rPr>
                <w:rFonts w:hint="eastAsia"/>
                <w:color w:val="000000" w:themeColor="text1"/>
                <w:sz w:val="24"/>
                <w:szCs w:val="24"/>
                <w:lang w:eastAsia="zh-CN"/>
                <w14:textFill>
                  <w14:solidFill>
                    <w14:schemeClr w14:val="tx1"/>
                  </w14:solidFill>
                </w14:textFill>
              </w:rPr>
              <w:t>；培养系统日运行时长</w:t>
            </w:r>
            <w:r>
              <w:rPr>
                <w:rFonts w:hint="eastAsia"/>
                <w:color w:val="000000" w:themeColor="text1"/>
                <w:sz w:val="24"/>
                <w:szCs w:val="24"/>
                <w:lang w:val="en-US" w:eastAsia="zh-CN"/>
                <w14:textFill>
                  <w14:solidFill>
                    <w14:schemeClr w14:val="tx1"/>
                  </w14:solidFill>
                </w14:textFill>
              </w:rPr>
              <w:t>24h，培养系统年运行时长365天。</w:t>
            </w:r>
          </w:p>
          <w:p>
            <w:pPr>
              <w:pStyle w:val="88"/>
              <w:keepNext w:val="0"/>
              <w:keepLines w:val="0"/>
              <w:pageBreakBefore w:val="0"/>
              <w:kinsoku/>
              <w:wordWrap/>
              <w:overflowPunct/>
              <w:topLinePunct w:val="0"/>
              <w:autoSpaceDE/>
              <w:autoSpaceDN/>
              <w:bidi w:val="0"/>
              <w:textAlignment w:val="auto"/>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（4）项目主要工艺设备明细表</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b/>
                <w:bCs/>
                <w:color w:val="000000" w:themeColor="text1"/>
                <w:sz w:val="18"/>
                <w:szCs w:val="18"/>
                <w14:textFill>
                  <w14:solidFill>
                    <w14:schemeClr w14:val="tx1"/>
                  </w14:solidFill>
                </w14:textFill>
              </w:rPr>
            </w:pPr>
            <w:r>
              <w:rPr>
                <w:color w:val="000000" w:themeColor="text1"/>
                <w:sz w:val="24"/>
                <w:szCs w:val="24"/>
                <w14:textFill>
                  <w14:solidFill>
                    <w14:schemeClr w14:val="tx1"/>
                  </w14:solidFill>
                </w14:textFill>
              </w:rPr>
              <w:t>生产设备情况见</w:t>
            </w:r>
            <w:r>
              <w:rPr>
                <w:rFonts w:hint="eastAsia"/>
                <w:color w:val="000000" w:themeColor="text1"/>
                <w:sz w:val="24"/>
                <w:szCs w:val="24"/>
                <w:lang w:eastAsia="zh-CN"/>
                <w14:textFill>
                  <w14:solidFill>
                    <w14:schemeClr w14:val="tx1"/>
                  </w14:solidFill>
                </w14:textFill>
              </w:rPr>
              <w:t>下表</w:t>
            </w:r>
            <w:r>
              <w:rPr>
                <w:color w:val="000000" w:themeColor="text1"/>
                <w:sz w:val="24"/>
                <w:szCs w:val="24"/>
                <w14:textFill>
                  <w14:solidFill>
                    <w14:schemeClr w14:val="tx1"/>
                  </w14:solidFill>
                </w14:textFill>
              </w:rPr>
              <w:t>。</w:t>
            </w:r>
          </w:p>
          <w:p>
            <w:pPr>
              <w:ind w:right="13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表</w:t>
            </w:r>
            <w:r>
              <w:rPr>
                <w:rFonts w:hint="eastAsia"/>
                <w:b/>
                <w:bCs/>
                <w:color w:val="000000" w:themeColor="text1"/>
                <w:sz w:val="18"/>
                <w:szCs w:val="18"/>
                <w14:textFill>
                  <w14:solidFill>
                    <w14:schemeClr w14:val="tx1"/>
                  </w14:solidFill>
                </w14:textFill>
              </w:rPr>
              <w:t>2-</w:t>
            </w:r>
            <w:r>
              <w:rPr>
                <w:rFonts w:hint="eastAsia"/>
                <w:b/>
                <w:bCs/>
                <w:color w:val="000000" w:themeColor="text1"/>
                <w:sz w:val="18"/>
                <w:szCs w:val="18"/>
                <w:lang w:val="en-US" w:eastAsia="zh-CN"/>
                <w14:textFill>
                  <w14:solidFill>
                    <w14:schemeClr w14:val="tx1"/>
                  </w14:solidFill>
                </w14:textFill>
              </w:rPr>
              <w:t>5</w:t>
            </w:r>
            <w:r>
              <w:rPr>
                <w:b/>
                <w:bCs/>
                <w:color w:val="000000" w:themeColor="text1"/>
                <w:sz w:val="18"/>
                <w:szCs w:val="18"/>
                <w14:textFill>
                  <w14:solidFill>
                    <w14:schemeClr w14:val="tx1"/>
                  </w14:solidFill>
                </w14:textFill>
              </w:rPr>
              <w:t xml:space="preserve"> </w:t>
            </w:r>
            <w:r>
              <w:rPr>
                <w:rFonts w:hint="eastAsia"/>
                <w:b/>
                <w:bCs/>
                <w:color w:val="000000" w:themeColor="text1"/>
                <w:sz w:val="18"/>
                <w:szCs w:val="18"/>
                <w14:textFill>
                  <w14:solidFill>
                    <w14:schemeClr w14:val="tx1"/>
                  </w14:solidFill>
                </w14:textFill>
              </w:rPr>
              <w:t>本</w:t>
            </w:r>
            <w:r>
              <w:rPr>
                <w:b/>
                <w:bCs/>
                <w:color w:val="000000" w:themeColor="text1"/>
                <w:sz w:val="18"/>
                <w:szCs w:val="18"/>
                <w14:textFill>
                  <w14:solidFill>
                    <w14:schemeClr w14:val="tx1"/>
                  </w14:solidFill>
                </w14:textFill>
              </w:rPr>
              <w:t>项目生产设备一览表</w:t>
            </w:r>
          </w:p>
          <w:tbl>
            <w:tblPr>
              <w:tblStyle w:val="30"/>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2"/>
              <w:gridCol w:w="420"/>
              <w:gridCol w:w="1286"/>
              <w:gridCol w:w="2346"/>
              <w:gridCol w:w="831"/>
              <w:gridCol w:w="2346"/>
              <w:gridCol w:w="831"/>
              <w:gridCol w:w="83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5" w:type="pct"/>
                  <w:vAlign w:val="center"/>
                </w:tcPr>
                <w:p>
                  <w:pPr>
                    <w:pStyle w:val="116"/>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序号</w:t>
                  </w:r>
                </w:p>
              </w:tc>
              <w:tc>
                <w:tcPr>
                  <w:tcW w:w="650" w:type="pct"/>
                  <w:vAlign w:val="center"/>
                </w:tcPr>
                <w:p>
                  <w:pPr>
                    <w:pStyle w:val="116"/>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工艺或生产单元</w:t>
                  </w:r>
                </w:p>
              </w:tc>
              <w:tc>
                <w:tcPr>
                  <w:tcW w:w="651" w:type="pct"/>
                  <w:vAlign w:val="center"/>
                </w:tcPr>
                <w:p>
                  <w:pPr>
                    <w:pStyle w:val="116"/>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生产设施</w:t>
                  </w:r>
                </w:p>
              </w:tc>
              <w:tc>
                <w:tcPr>
                  <w:tcW w:w="1109" w:type="pct"/>
                  <w:vAlign w:val="center"/>
                </w:tcPr>
                <w:p>
                  <w:pPr>
                    <w:pStyle w:val="116"/>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环评及批复型号</w:t>
                  </w:r>
                </w:p>
              </w:tc>
              <w:tc>
                <w:tcPr>
                  <w:tcW w:w="449" w:type="pct"/>
                  <w:vAlign w:val="center"/>
                </w:tcPr>
                <w:p>
                  <w:pPr>
                    <w:pStyle w:val="116"/>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环评及批复数量（台）</w:t>
                  </w:r>
                </w:p>
              </w:tc>
              <w:tc>
                <w:tcPr>
                  <w:tcW w:w="849" w:type="pct"/>
                  <w:vAlign w:val="center"/>
                </w:tcPr>
                <w:p>
                  <w:pPr>
                    <w:pStyle w:val="116"/>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实际型号</w:t>
                  </w:r>
                </w:p>
              </w:tc>
              <w:tc>
                <w:tcPr>
                  <w:tcW w:w="538" w:type="pct"/>
                  <w:vAlign w:val="center"/>
                </w:tcPr>
                <w:p>
                  <w:pPr>
                    <w:pStyle w:val="116"/>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实际数量（台）</w:t>
                  </w:r>
                </w:p>
              </w:tc>
              <w:tc>
                <w:tcPr>
                  <w:tcW w:w="475" w:type="pct"/>
                  <w:vAlign w:val="center"/>
                </w:tcPr>
                <w:p>
                  <w:pPr>
                    <w:pStyle w:val="116"/>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变化情况（台）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650" w:type="pct"/>
                  <w:vMerge w:val="restar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动物实验分析</w:t>
                  </w: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研究级全电动倒置荧光相差系统显微镜</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DMi8</w:t>
                  </w:r>
                </w:p>
              </w:tc>
              <w:tc>
                <w:tcPr>
                  <w:tcW w:w="449" w:type="pct"/>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DMi8</w:t>
                  </w:r>
                </w:p>
              </w:tc>
              <w:tc>
                <w:tcPr>
                  <w:tcW w:w="1013" w:type="dxa"/>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倒置显微镜</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DMiL</w:t>
                  </w:r>
                </w:p>
              </w:tc>
              <w:tc>
                <w:tcPr>
                  <w:tcW w:w="449" w:type="pct"/>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DMiL</w:t>
                  </w:r>
                </w:p>
              </w:tc>
              <w:tc>
                <w:tcPr>
                  <w:tcW w:w="1013" w:type="dxa"/>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薄层扫描仪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CD 60 Biostep</w:t>
                  </w:r>
                </w:p>
              </w:tc>
              <w:tc>
                <w:tcPr>
                  <w:tcW w:w="449" w:type="pct"/>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CD 60 Biostep</w:t>
                  </w:r>
                </w:p>
              </w:tc>
              <w:tc>
                <w:tcPr>
                  <w:tcW w:w="1013" w:type="dxa"/>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凝胶成像仪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SmartGel 7000</w:t>
                  </w:r>
                </w:p>
              </w:tc>
              <w:tc>
                <w:tcPr>
                  <w:tcW w:w="449" w:type="pct"/>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SmartGel 7000</w:t>
                  </w:r>
                </w:p>
              </w:tc>
              <w:tc>
                <w:tcPr>
                  <w:tcW w:w="1013" w:type="dxa"/>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三重四级杆液相色谱/质谱联用仪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Xevo TQD</w:t>
                  </w:r>
                </w:p>
              </w:tc>
              <w:tc>
                <w:tcPr>
                  <w:tcW w:w="449" w:type="pct"/>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Xevo TQD</w:t>
                  </w:r>
                </w:p>
              </w:tc>
              <w:tc>
                <w:tcPr>
                  <w:tcW w:w="1013" w:type="dxa"/>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微孔板分光光度计</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Multiskan SkyHigh</w:t>
                  </w:r>
                </w:p>
              </w:tc>
              <w:tc>
                <w:tcPr>
                  <w:tcW w:w="449" w:type="pct"/>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Multiskan SkyHigh</w:t>
                  </w:r>
                </w:p>
              </w:tc>
              <w:tc>
                <w:tcPr>
                  <w:tcW w:w="1013" w:type="dxa"/>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7</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超灵敏多功能成像仪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Amersham ImageQuant 800 Fluor</w:t>
                  </w:r>
                </w:p>
              </w:tc>
              <w:tc>
                <w:tcPr>
                  <w:tcW w:w="449" w:type="pct"/>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Amersham ImageQuant 800 Fluor</w:t>
                  </w:r>
                </w:p>
              </w:tc>
              <w:tc>
                <w:tcPr>
                  <w:tcW w:w="1013" w:type="dxa"/>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8</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核酸蛋白分析仪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N50 Touch</w:t>
                  </w:r>
                </w:p>
              </w:tc>
              <w:tc>
                <w:tcPr>
                  <w:tcW w:w="449" w:type="pct"/>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N50 Touch</w:t>
                  </w:r>
                </w:p>
              </w:tc>
              <w:tc>
                <w:tcPr>
                  <w:tcW w:w="1013" w:type="dxa"/>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9</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电导率测定仪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DDSJ-319L 雷磁</w:t>
                  </w:r>
                </w:p>
              </w:tc>
              <w:tc>
                <w:tcPr>
                  <w:tcW w:w="449" w:type="pct"/>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DDSJ-319L 雷磁</w:t>
                  </w:r>
                </w:p>
              </w:tc>
              <w:tc>
                <w:tcPr>
                  <w:tcW w:w="1013" w:type="dxa"/>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液相色谱仪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LC300(DAD+荧光</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LC300(DAD+荧光</w:t>
                  </w:r>
                </w:p>
              </w:tc>
              <w:tc>
                <w:tcPr>
                  <w:tcW w:w="101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11</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双通道无创血压仪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INL326</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INL326</w:t>
                  </w:r>
                </w:p>
              </w:tc>
              <w:tc>
                <w:tcPr>
                  <w:tcW w:w="101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12</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动物激光多普勒血流仪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T402</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T402</w:t>
                  </w:r>
                </w:p>
              </w:tc>
              <w:tc>
                <w:tcPr>
                  <w:tcW w:w="101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13</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电感耦合等离子体质谱仪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iCAP RQ</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iCAP RQ</w:t>
                  </w:r>
                </w:p>
              </w:tc>
              <w:tc>
                <w:tcPr>
                  <w:tcW w:w="101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14</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离子色谱仪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Aquion RFIC</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Aquion RFIC</w:t>
                  </w:r>
                </w:p>
              </w:tc>
              <w:tc>
                <w:tcPr>
                  <w:tcW w:w="101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电感耦合等离子体发射光谱仪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iCAP PROX</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iCAP PROX</w:t>
                  </w:r>
                </w:p>
              </w:tc>
              <w:tc>
                <w:tcPr>
                  <w:tcW w:w="101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16</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拉曼光谱仪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i-Raman Plus</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i-Raman Plus</w:t>
                  </w:r>
                </w:p>
              </w:tc>
              <w:tc>
                <w:tcPr>
                  <w:tcW w:w="101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17</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液相色谱仪-原子荧光光谱仪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LC-AFS8520</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LC-AFS8520</w:t>
                  </w:r>
                </w:p>
              </w:tc>
              <w:tc>
                <w:tcPr>
                  <w:tcW w:w="101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18</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能量色散型X射线荧光光谱仪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EDX-Le plus</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EDX-Le plus</w:t>
                  </w:r>
                </w:p>
              </w:tc>
              <w:tc>
                <w:tcPr>
                  <w:tcW w:w="101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19</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高效液相色谱仪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LC-2030 plus</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LC-2030 plus</w:t>
                  </w:r>
                </w:p>
              </w:tc>
              <w:tc>
                <w:tcPr>
                  <w:tcW w:w="101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20</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凝胶渗透色谱仪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LC-20A</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LC-20A</w:t>
                  </w:r>
                </w:p>
              </w:tc>
              <w:tc>
                <w:tcPr>
                  <w:tcW w:w="101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21</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原子吸收分光光度计</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AA-7000</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AA-7000</w:t>
                  </w:r>
                </w:p>
              </w:tc>
              <w:tc>
                <w:tcPr>
                  <w:tcW w:w="101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22</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红外分光光度计</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 xml:space="preserve">IRAffinity-1S </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 xml:space="preserve">IRAffinity-1S </w:t>
                  </w:r>
                </w:p>
              </w:tc>
              <w:tc>
                <w:tcPr>
                  <w:tcW w:w="101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23</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原子荧光光谱仪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AF-3200</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AF-3200</w:t>
                  </w:r>
                </w:p>
              </w:tc>
              <w:tc>
                <w:tcPr>
                  <w:tcW w:w="101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24</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紫外可见分光光度计</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UV-1900 i</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UV-1900 i</w:t>
                  </w:r>
                </w:p>
              </w:tc>
              <w:tc>
                <w:tcPr>
                  <w:tcW w:w="101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动物五分类血细胞分析仪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ProcyteDX</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ProcyteDX</w:t>
                  </w:r>
                </w:p>
              </w:tc>
              <w:tc>
                <w:tcPr>
                  <w:tcW w:w="101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26</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16通道生理记录仪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MP160</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MP160</w:t>
                  </w:r>
                </w:p>
              </w:tc>
              <w:tc>
                <w:tcPr>
                  <w:tcW w:w="101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27</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全自动酶联荧光免疫分析仪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VIDAS30</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VIDAS30</w:t>
                  </w:r>
                </w:p>
              </w:tc>
              <w:tc>
                <w:tcPr>
                  <w:tcW w:w="101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28</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酶联免疫分析仪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MINI VIDAS</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MINI VIDAS</w:t>
                  </w:r>
                </w:p>
              </w:tc>
              <w:tc>
                <w:tcPr>
                  <w:tcW w:w="101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29</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微量核酸定量仪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柏精</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柏精</w:t>
                  </w:r>
                </w:p>
              </w:tc>
              <w:tc>
                <w:tcPr>
                  <w:tcW w:w="101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脂肪酸分析仪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GC-2020 中科谱</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GC-2020 中科谱</w:t>
                  </w:r>
                </w:p>
              </w:tc>
              <w:tc>
                <w:tcPr>
                  <w:tcW w:w="101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31</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阿贝折射仪（折光仪）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A630 济南海能</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A630 济南海能</w:t>
                  </w:r>
                </w:p>
              </w:tc>
              <w:tc>
                <w:tcPr>
                  <w:tcW w:w="101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32</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PH计</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FE28 mettler</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FE28 mettler</w:t>
                  </w:r>
                </w:p>
              </w:tc>
              <w:tc>
                <w:tcPr>
                  <w:tcW w:w="101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33</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PH计</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FE28 mettler</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FE28 mettler</w:t>
                  </w:r>
                </w:p>
              </w:tc>
              <w:tc>
                <w:tcPr>
                  <w:tcW w:w="101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34</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分子荧光分光光度计</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F-280 天津港东</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F-280 天津港东</w:t>
                  </w:r>
                </w:p>
              </w:tc>
              <w:tc>
                <w:tcPr>
                  <w:tcW w:w="101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35</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自动定氮仪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K1160+K1124 济南海能</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K1160+K1124 济南海能</w:t>
                  </w:r>
                </w:p>
              </w:tc>
              <w:tc>
                <w:tcPr>
                  <w:tcW w:w="101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36</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自动电位滴定仪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TL 7000-M1/10 德国Chemtron</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TL 7000-M1/10 德国Chemtron</w:t>
                  </w:r>
                </w:p>
              </w:tc>
              <w:tc>
                <w:tcPr>
                  <w:tcW w:w="101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37</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三重四级杆液相色谱/质谱联用仪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TQ-S CRONOS 沃特世科技（上海）有限公司</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TQ-S CRONOS 沃特世科技（上海）有限公司</w:t>
                  </w:r>
                </w:p>
              </w:tc>
              <w:tc>
                <w:tcPr>
                  <w:tcW w:w="101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38</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气相色谱/质谱联用仪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GCMS-QP2020 NX  岛津企业管理（中国）有限公司</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GCMS-QP2020 NX  岛津企业管理（中国）有限公司</w:t>
                  </w:r>
                </w:p>
              </w:tc>
              <w:tc>
                <w:tcPr>
                  <w:tcW w:w="101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39</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气相色谱仪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GC-2030 岛津企业管理（中国）有限公司</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GC-2030 岛津企业管理（中国）有限公司</w:t>
                  </w:r>
                </w:p>
              </w:tc>
              <w:tc>
                <w:tcPr>
                  <w:tcW w:w="101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40</w:t>
                  </w:r>
                </w:p>
              </w:tc>
              <w:tc>
                <w:tcPr>
                  <w:tcW w:w="650" w:type="pct"/>
                  <w:vMerge w:val="restar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动物实验</w:t>
                  </w: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全自动固相萃取仪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Heffic S6</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Heffic S6</w:t>
                  </w:r>
                </w:p>
              </w:tc>
              <w:tc>
                <w:tcPr>
                  <w:tcW w:w="101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41</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全自动微生物平板螺旋加样系统</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GS-360 上海科哲</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GS-360 上海科哲</w:t>
                  </w:r>
                </w:p>
              </w:tc>
              <w:tc>
                <w:tcPr>
                  <w:tcW w:w="101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42</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自动化革兰氏染色系统</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BR-001 山东鑫科</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BR-001 山东鑫科</w:t>
                  </w:r>
                </w:p>
              </w:tc>
              <w:tc>
                <w:tcPr>
                  <w:tcW w:w="101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43</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立柜式超高速离心机</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CP100NX</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CP100NX</w:t>
                  </w:r>
                </w:p>
              </w:tc>
              <w:tc>
                <w:tcPr>
                  <w:tcW w:w="101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44</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染色机</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Gemini AS</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Gemini AS</w:t>
                  </w:r>
                </w:p>
              </w:tc>
              <w:tc>
                <w:tcPr>
                  <w:tcW w:w="101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45</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冰冻切片机</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HM525 NX U</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HM525 NX U</w:t>
                  </w:r>
                </w:p>
              </w:tc>
              <w:tc>
                <w:tcPr>
                  <w:tcW w:w="101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46</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组织包埋机</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HistoStar</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HistoStar</w:t>
                  </w:r>
                </w:p>
              </w:tc>
              <w:tc>
                <w:tcPr>
                  <w:tcW w:w="101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47</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捞片机</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TK-2110</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TK-2110</w:t>
                  </w:r>
                </w:p>
              </w:tc>
              <w:tc>
                <w:tcPr>
                  <w:tcW w:w="101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48</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烤片机</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TK-2112</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TK-2112</w:t>
                  </w:r>
                </w:p>
              </w:tc>
              <w:tc>
                <w:tcPr>
                  <w:tcW w:w="101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49</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薄层自动点样及展开系统</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AS 30 Biostep</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AS 30 Biostep</w:t>
                  </w:r>
                </w:p>
              </w:tc>
              <w:tc>
                <w:tcPr>
                  <w:tcW w:w="101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50</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翘板摇床</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ZWQ-344</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ZWQ-344</w:t>
                  </w:r>
                </w:p>
              </w:tc>
              <w:tc>
                <w:tcPr>
                  <w:tcW w:w="101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51</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高效毛细管电泳仪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LabChip GX Touch</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LabChip GX Touch</w:t>
                  </w:r>
                </w:p>
              </w:tc>
              <w:tc>
                <w:tcPr>
                  <w:tcW w:w="101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52</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DNA电泳仪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xinDNA</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xinDNA</w:t>
                  </w:r>
                </w:p>
              </w:tc>
              <w:tc>
                <w:tcPr>
                  <w:tcW w:w="101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53</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电泳仪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xinDNA+xinpower-300</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598"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xinDNA+xinpower-300</w:t>
                  </w:r>
                </w:p>
              </w:tc>
              <w:tc>
                <w:tcPr>
                  <w:tcW w:w="101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54</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蛋白电泳仪以及转膜设备（包括常规配件）</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xinpro4+xinpower-600</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xinpro4+xinpower-600</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55</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恒温摇床</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ZQTY-70E</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ZQTY-70E</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56</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马福炉</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FO611C</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FO611C</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57</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恒温振荡水浴</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ZHSY-50E</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ZHSY-50E</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58</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振荡器</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ZTY-70E</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ZTY-70E</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59</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旋涡混合器</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MTV-1</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MTV-1</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60</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氮吹仪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MD200-2</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MD200-2</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61</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水浴摇床</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SY-1220 美国精骐</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SY-1220 美国精骐</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62</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3D摇床</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NS-11U 美国精骐</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NS-11U 美国精骐</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63</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迷你离心机</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MLX-210 美国精骐</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MLX-210 美国精骐</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64</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磁力搅拌器</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MS-01H 美国精骐</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MS-01H 美国精骐</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65</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涡旋振荡器</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VM-01U 美国精骐</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VM-01U 美国精骐</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66</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恒温磁力搅拌器</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IT-08A3 上海一恒</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IT-08A3 上海一恒</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67</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荧光定量PCR仪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Q2000C型 朗基</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Q2000C型 朗基</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68</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普通PCR仪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A600 朗基</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A600 朗基</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69</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酶标仪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DNM－9602 北京普朗</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DNM－9602 北京普朗</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70</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定温干燥箱</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DHG-9145A 上海一恒</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DHG-9145A 上海一恒</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71</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半封闭脱水机</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TP1020</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TP1020</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72</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鼓风干燥箱</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DHG-9245A</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DHG-9245A</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73</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制冰机</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XB-70</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XB-70</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74</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电子分析天平（100mg）</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YP20K-1</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YP20K-1</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75</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增强型小动物麻醉机</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R540</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R540</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76</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微波消解仪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Touchwin2.0</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Touchwin2.0</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77</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恒温水浴锅</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SYG-1-2</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SYG-1-2</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78</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电子分析天平（0.01mg）</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赛多利斯Secura225D</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赛多利斯Secura225D</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79</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电子分析天平（1mg）</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赛多利斯BCE223</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赛多利斯BCE223</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80</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电子分析天平（1mg）</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赛多利斯BCE323i</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赛多利斯BCE323i</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81</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电子分析天平（10mg）</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赛多利斯BCE2202</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赛多利斯BCE2202</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82</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电子分析天平（10mg）</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赛多利斯BCE2202</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赛多利斯BCE2202</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83</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脑立体定位仪含颅骨钻和微量注射系统</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71000-R</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71000-R</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84</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全自动轮转式切片机</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S700A</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S700A</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85</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细胞计数仪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C100-SE</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C100-SE</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86</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细胞计数仪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C100-SE</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C100-SE</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87</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疲劳转棒仪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ZB-200</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ZB-200</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88</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二氧化碳培养箱</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D180-P</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D180-P</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89</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二氧化碳培养箱</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D180-P</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D180-P</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90</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台式高速离心机（常温）</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DL-2018H 中科都菱</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DL-2018H 中科都菱</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91</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低温高速离心机</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DL-2018HR 中科都菱</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DL-2018HR 中科都菱</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92</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台式高速冷冻离心机</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DL-2018HR 中科都菱</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DL-2018HR 中科都菱</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93</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小型高速离心机（常温）</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DL-2018H 中科都菱</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DL-2018H 中科都菱</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94</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普通台式离心机</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DL-2018H 中科都菱</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DL-2018H 中科都菱</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95</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离心机</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DL-2018H 中科都菱</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DL-2018H 中科都菱</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96</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真空离心浓缩仪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SCIENTZ-1LS 宁波新芝</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SCIENTZ-1LS 宁波新芝</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97</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均质器</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SCIENTZ-24 宁波新芝</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SCIENTZ-24 宁波新芝</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98</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样品粉碎机</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SCIENTZ-48 宁波新芝</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SCIENTZ-48 宁波新芝</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99</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超声破碎仪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JY96-IIN 宁波新芝</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JY96-IIN 宁波新芝</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100</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 xml:space="preserve">恒温水浴箱 </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SC-15 宁波新芝</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SC-15 宁波新芝</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101</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负压手术解剖台</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DW90 苏杭</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DW90 苏杭</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102</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手术台</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DWA65 苏杭</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DWA65 苏杭</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103</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冷冻干燥机</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SCIENTZ-12ND/C 宁波新芝</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SCIENTZ-12ND/C 宁波新芝</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104</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旋转蒸发仪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Hei-Vap Core ML G3 海道尔夫</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Hei-Vap Core ML G3 海道尔夫</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105</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崩解仪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ZB-3A 天大天发</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ZB-3A 天大天发</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106</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超声波提取器</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JY92-IIN 上海沪析</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JY92-IIN 上海沪析</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107</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信息化信号采集与处理系统</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BL-420N 成都泰盟</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BL-420N 成都泰盟</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108</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隔膜泵</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VB-40上海一恒</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VB-40上海一恒</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109</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紫外透射率分析仪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UV-2000F 蓝菲光学</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UV-2000F 蓝菲光学</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110</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紫外透射率分析仪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UV-2000S 蓝菲光学</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UV-2000S 蓝菲光学</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111</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超临界萃取</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SFT-120 Supercritical</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SFT-120 Supercritical</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112</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倒置相差系统显微镜</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CKX53 奥林巴斯</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CKX53 奥林巴斯</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113</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显微镜</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E100 nikon</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E100 nikon</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114</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真空干燥箱</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WOV-11 德国WIGGENS</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WOV-11 德国WIGGENS</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115</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卡氏水分测定仪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TL 7500 德国Chemtron</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TL 7500 德国Chemtron</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116</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手动移液器-单通道移液器套装（1,2,3）</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F167550、F167350、F167350 法国吉尔森</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F167550、F167350、F167350 法国吉尔森</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117</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八道移液器-多通道移液器</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FA10009、FA10011、FA10013 法国吉尔森</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FA10009、FA10011、FA10013 法国吉尔森</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118</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自动移液器-电动辅助移液器</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FA1007 法国吉尔森</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FA1007 法国吉尔森</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119</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多通道可调移液器</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FA10010 法国吉尔森</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FA10010 法国吉尔森</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120</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可调试连续加样器</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F164001 法国吉尔森</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F164001 法国吉尔森</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121</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全自动旋光仪（0.01级）</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P1000-LED 德国Chemtron</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P1000-LED 德国Chemtron</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122</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离体心脏灌流系统</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120101 RADNOTI</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120101 RADNOTI</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123</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快速溶剂萃取仪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Heffic AE300 优兴科仪</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Heffic AE300 优兴科仪</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124</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高分辨率小动物超声成像系统</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Vevo 3100LT</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Vevo 3100LT</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125</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流式细胞仪（分析）(科研）</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FACS Celesta</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FACS Celesta</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126</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全自动菌落成像分析系统</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Scan500 interscience</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Scan500 interscience</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127</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万分之一分析天平</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ME204(0.1mg) mettler</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ME204(0.1mg) mettler</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128</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电子分析天平（0.1mg）</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ME204（0.1mg） mettler</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ME204（0.1mg） mettler</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129</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低温摇床</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Biostream Max 荷兰Biostream</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Biostream Max 荷兰Biostream</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130</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平板轨道摇床</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WS-50DR 德国WIGGENS</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WS-50DR 德国WIGGENS</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131</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熔点仪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M5000 德国Chemtron</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M5000 德国Chemtron</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132</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振荡提取仪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WS-1 德国WIGGENS</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WS-1 德国WIGGENS</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133</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加热板</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SLK2 德国WIGGENS</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SLK2 德国WIGGENS</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134</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加热板</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WH240-HT 德国WIGGENS</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WH240-HT 德国WIGGENS</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135</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生化分析仪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Hyperlab SMART 荷兰Biostream</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Hyperlab SMART 荷兰Biostream</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136</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氮气发生器</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WIND-30 德国Chemtron</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WIND-30 德国Chemtron</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137</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CO2培养箱（气套/170L/IR传感器）</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WCI-180 德国WIGGENS</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WCI-180 德国WIGGENS</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138</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三气培养箱</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WCI-180T 德国WIGGENS</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WCI-180T 德国WIGGENS</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139</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近红外光谱仪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 xml:space="preserve">岛津/IR Trance-100 </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 xml:space="preserve">岛津/IR Trance-100 </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140</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全自动组织切片扫描仪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宁波江丰KF-PRO-120</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宁波江丰KF-PRO-120</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141</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台式高速冷冻大容量离心机（冷冻）</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5810R艾本德</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5810R艾本德</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142</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生物安全柜（双人）</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NU-543-400S</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NU-543-400S</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143</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生物安全柜</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NU-543-400S</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NU-543-400S</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144</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高频电刀</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 xml:space="preserve">CV-2000AI 北京康威 </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 xml:space="preserve">CV-2000AI 北京康威 </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145</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高效毛细管电泳仪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Bioptic Qsep1</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Bioptic Qsep1</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146</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全自动平板划线系统</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Easy spiral dilute</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Easy spiral dilute</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147</w:t>
                  </w:r>
                </w:p>
              </w:tc>
              <w:tc>
                <w:tcPr>
                  <w:tcW w:w="650" w:type="pct"/>
                  <w:vMerge w:val="restar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细胞培养</w:t>
                  </w: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普通PCR仪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Veriti Pro</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Veriti Pro</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148</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恒温细菌震荡培养箱</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ZWY-2102C</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ZWY-2102C</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149</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培养基自动制备分装仪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SampLeper</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SampLeper</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150</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厌氧培养箱</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 xml:space="preserve">BACTRON EZ-2 SHELLAB  </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 xml:space="preserve">BACTRON EZ-2 SHELLAB  </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151</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自动微生物快速检测系统</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Microtrend BioFirst-32 美凯纯</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Microtrend BioFirst-32 美凯纯</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152</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全自动微生物生化鉴定系统</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DW-M80 杭州大微</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DW-M80 杭州大微</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147</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普通PCR仪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Veriti Pro</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Veriti Pro</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148</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恒温细菌震荡培养箱</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ZWY-2102C</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ZWY-2102C</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149</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培养基自动制备分装仪</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SampLeper</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SampLeper</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150</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厌氧培养箱</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 xml:space="preserve">BACTRON EZ-2 SHELLAB  </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 xml:space="preserve">BACTRON EZ-2 SHELLAB  </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151</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自动微生物快速检测系统</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Microtrend BioFirst-32 美凯纯</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Microtrend BioFirst-32 美凯纯</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152</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全自动微生物生化鉴定系统</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DW-M80 杭州大微</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DW-M80 杭州大微</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153</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生化/恒温培养箱</w:t>
                  </w:r>
                </w:p>
              </w:tc>
              <w:tc>
                <w:tcPr>
                  <w:tcW w:w="1109"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WH-15 德国WIGGENS</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w:t>
                  </w:r>
                </w:p>
              </w:tc>
              <w:tc>
                <w:tcPr>
                  <w:tcW w:w="1949"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WH-15 德国WIGGENS</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154</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恒温细菌震荡培养箱</w:t>
                  </w:r>
                </w:p>
              </w:tc>
              <w:tc>
                <w:tcPr>
                  <w:tcW w:w="1109"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WH-11C 德国WIGGENS</w:t>
                  </w:r>
                </w:p>
              </w:tc>
              <w:tc>
                <w:tcPr>
                  <w:tcW w:w="449"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WH-11C 德国WIGGENS</w:t>
                  </w:r>
                </w:p>
              </w:tc>
              <w:tc>
                <w:tcPr>
                  <w:tcW w:w="8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155</w:t>
                  </w:r>
                </w:p>
              </w:tc>
              <w:tc>
                <w:tcPr>
                  <w:tcW w:w="650" w:type="pct"/>
                  <w:vMerge w:val="restar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公共</w:t>
                  </w: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全自动病原微生物检测系统</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VeriFlow Invisible sentinel</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VeriFlow Invisible sentinel</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156</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消化炉</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SH420F 海能仪器</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SH420F 海能仪器</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157</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水分活度</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LabSwift-aw Novasina</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LabSwift-aw Novasina</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158</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全自动洗脱烘一体机</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XGQ-15F 佛倾机械</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XGQ-15F 佛倾机械</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159</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LED720/520经济型手术灯</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 xml:space="preserve">LED720/520德马吉 </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 xml:space="preserve">LED720/520德马吉 </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160</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LED720/520基本型手术灯</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 xml:space="preserve">LED720/520基本型 </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 xml:space="preserve">LED720/520基本型 </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161</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手术无影灯</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LED720基本 铭泰</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LED720基本 铭泰</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162</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实验动物饮用水微电解无菌水设备</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 xml:space="preserve">XS-500 </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 xml:space="preserve">XS-500 </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163</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生物安全柜</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S@femate EZ 1.2 Bioair</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S@femate EZ 1.2 Bioair</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164</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低温/智能循环水（±0.1℃）</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DLK-2007 宁波新芝</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DLK-2007 宁波新芝</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165</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超净台</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SWCJ-1F 苏杭</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SWCJ-1F 苏杭</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166</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制冰机</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XB-130 宁波新芝</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XB-130 宁波新芝</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167</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超声波振荡清洗器</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SB25-12DTD 宁波新芝</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SB25-12DTD 宁波新芝</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168</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不锈钢实验台</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SQ110 苏杭</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14</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SQ110 苏杭</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14</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169</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超净台（100级，双人）</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HCB-1300V 海尔</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HCB-1300V 海尔</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170</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液氮存储罐</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CryoSystem6000 MVE</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CryoSystem6000 MVE</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171</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粉尘称量罩</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PW1-3A1 esco</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PW1-3A1 esco</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172</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超声波振荡清洗器</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SB-5200DTD 宁波新芝</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SB-5200DTD 宁波新芝</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173</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酶标板洗板机</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KB-9622 山东博科</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KB-9622 山东博科</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174</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超纯水机系统</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Milli-Q IQ 7005 密理博</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Milli-Q IQ 7005 密理博</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175</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超纯水装置</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Dura Pro 24FV 泽拉布</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Dura Pro 24FV 泽拉布</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176</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风机</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177</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酒精计</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PAL-33S ATAGO</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PAL-33S ATAGO</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178</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浊度计</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DTZDJ480</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DTZDJ480</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179</w:t>
                  </w:r>
                </w:p>
              </w:tc>
              <w:tc>
                <w:tcPr>
                  <w:tcW w:w="650" w:type="pct"/>
                  <w:vMerge w:val="restar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灭菌</w:t>
                  </w: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真空灭菌消毒炉</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BIST-A-D910-D-B</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BIST-A-D910-D-B</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180</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高压灭菌器</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GR85DA</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GR85DA</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181</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高压灭菌器</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SQ810C</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SQ810C</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182</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红外接种环灭菌器</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HM-3000C</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HM-3000C</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183</w:t>
                  </w:r>
                </w:p>
              </w:tc>
              <w:tc>
                <w:tcPr>
                  <w:tcW w:w="650" w:type="pct"/>
                  <w:vMerge w:val="restar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动物饲养和隔离检疫</w:t>
                  </w: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水瓶快速清洗机</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BWS-M-Q320</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BWS-M-Q320</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184</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垫料分装机</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BSE-CB-B1000</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BSE-CB-B1000</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185</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大、小鼠新型代谢笼</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ZH-B6</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ZH-B6</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186</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大鼠独立通风笼具（1拖1）</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CF30笼一拖一</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CF30笼一拖一</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187</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动物运动轨迹跟踪系统（含水迷宫）</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SMARTPREMIUM</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SMARTPREMIUM</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188</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大动物专用呼吸机</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R419</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R419</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189</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小动物专用呼吸机</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R415</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R415</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190</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不锈钢狗笼</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DA2 苏杭</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38</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DA2 苏杭</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38</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191</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干养式兔笼及架</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RB44-12G 苏杭</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RB44-12G 苏杭</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192</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干养式豚鼠笼及架</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B44-12G 苏杭</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7</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B44-12G 苏杭</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7</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193</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饮水瓶灌装机</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BF1 苏杭</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BF1 苏杭</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194</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食品搅拌机</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WB2000-M 德国WIGGENS</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WB2000-M 德国WIGGENS</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195</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动物代谢检测系统</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Columbus/CLAMS</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Columbus/CLAMS</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196</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鼠类行为活动观测箱系统</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Noldus/PhenoTyper</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Noldus/PhenoTyper</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197</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高氧低氧小动物培养箱</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杭州得聚DJ-600A</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杭州得聚DJ-600A</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198</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多功能隔离笼（小鼠）</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君圣 JSX-80</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君圣 JSX-80</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199</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大鼠独立通风笼具（1拖2）</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君圣/JS-IDXG-25*2或者新华医疗BCR-RI01-25-C12-PPSU</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8</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君圣/JS-IDXG-25*2或者新华医疗BCR-RI01-25-C12-PPSU</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8</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200</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超低容量喷雾器</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2796 美国BG</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2796 美国BG</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201</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除湿器</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志高ZG-A30</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志高ZG-A30</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202</w:t>
                  </w:r>
                </w:p>
              </w:tc>
              <w:tc>
                <w:tcPr>
                  <w:tcW w:w="650" w:type="pct"/>
                  <w:vMerge w:val="restar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冷藏</w:t>
                  </w: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超低温冰箱（-80℃)</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DW-86L728J</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DW-86L728J</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203</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防爆冰箱</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HLR-310FL</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HLR-310FL</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204</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超低温冰箱（-80℃)</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MDF-86V728 中科都菱</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MDF-86V728 中科都菱</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205</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低温冰箱（-20℃）</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MDF-25V328E 中科都菱</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MDF-25V328E 中科都菱</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206</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低温冰箱（-20℃）</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MDF-25V528 中科都菱</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MDF-25V528 中科都菱</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207</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冷藏柜</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MPC-5V316 中科都菱</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MPC-5V316 中科都菱</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208</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2-8℃冰箱</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MPC-5V1006 中科都菱</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MPC-5V1006 中科都菱</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75"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209</w:t>
                  </w:r>
                </w:p>
              </w:tc>
              <w:tc>
                <w:tcPr>
                  <w:tcW w:w="650" w:type="pct"/>
                  <w:vMerge w:val="continue"/>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1"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普通冰箱</w:t>
                  </w:r>
                </w:p>
              </w:tc>
              <w:tc>
                <w:tcPr>
                  <w:tcW w:w="110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BCD-519WEZ50 TCL</w:t>
                  </w:r>
                </w:p>
              </w:tc>
              <w:tc>
                <w:tcPr>
                  <w:tcW w:w="449" w:type="pct"/>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1949"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BCD-519WEZ50 TCL</w:t>
                  </w:r>
                </w:p>
              </w:tc>
              <w:tc>
                <w:tcPr>
                  <w:tcW w:w="893" w:type="dxa"/>
                  <w:vAlign w:val="center"/>
                </w:tcPr>
                <w:p>
                  <w:pPr>
                    <w:widowControl/>
                    <w:snapToGrid w:val="0"/>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475"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bl>
          <w:p>
            <w:pPr>
              <w:spacing w:line="360" w:lineRule="auto"/>
              <w:jc w:val="left"/>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2.</w:t>
            </w:r>
            <w:r>
              <w:rPr>
                <w:b/>
                <w:bCs/>
                <w:color w:val="000000" w:themeColor="text1"/>
                <w:sz w:val="24"/>
                <w:szCs w:val="24"/>
                <w14:textFill>
                  <w14:solidFill>
                    <w14:schemeClr w14:val="tx1"/>
                  </w14:solidFill>
                </w14:textFill>
              </w:rPr>
              <w:t>4</w:t>
            </w:r>
            <w:r>
              <w:rPr>
                <w:rFonts w:hint="eastAsia"/>
                <w:b/>
                <w:bCs/>
                <w:color w:val="000000" w:themeColor="text1"/>
                <w:sz w:val="24"/>
                <w:szCs w:val="24"/>
                <w14:textFill>
                  <w14:solidFill>
                    <w14:schemeClr w14:val="tx1"/>
                  </w14:solidFill>
                </w14:textFill>
              </w:rPr>
              <w:t xml:space="preserve"> 主要原辅材料及燃料</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建设项目</w:t>
            </w:r>
            <w:r>
              <w:rPr>
                <w:rFonts w:hint="eastAsia"/>
                <w:color w:val="000000" w:themeColor="text1"/>
                <w:sz w:val="24"/>
                <w:szCs w:val="24"/>
                <w:lang w:eastAsia="zh-CN"/>
                <w14:textFill>
                  <w14:solidFill>
                    <w14:schemeClr w14:val="tx1"/>
                  </w14:solidFill>
                </w14:textFill>
              </w:rPr>
              <w:t>主要</w:t>
            </w:r>
            <w:r>
              <w:rPr>
                <w:color w:val="000000" w:themeColor="text1"/>
                <w:sz w:val="24"/>
                <w:szCs w:val="24"/>
                <w14:textFill>
                  <w14:solidFill>
                    <w14:schemeClr w14:val="tx1"/>
                  </w14:solidFill>
                </w14:textFill>
              </w:rPr>
              <w:t>原辅材料和能源消耗情况见</w:t>
            </w:r>
            <w:r>
              <w:rPr>
                <w:rFonts w:hint="eastAsia"/>
                <w:color w:val="000000" w:themeColor="text1"/>
                <w:sz w:val="24"/>
                <w:szCs w:val="24"/>
                <w:lang w:eastAsia="zh-CN"/>
                <w14:textFill>
                  <w14:solidFill>
                    <w14:schemeClr w14:val="tx1"/>
                  </w14:solidFill>
                </w14:textFill>
              </w:rPr>
              <w:t>下表</w:t>
            </w:r>
            <w:r>
              <w:rPr>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b/>
                <w:bCs/>
                <w:color w:val="000000" w:themeColor="text1"/>
                <w:szCs w:val="21"/>
                <w:lang w:val="en-US" w:eastAsia="zh-CN"/>
                <w14:textFill>
                  <w14:solidFill>
                    <w14:schemeClr w14:val="tx1"/>
                  </w14:solidFill>
                </w14:textFill>
              </w:rPr>
            </w:pPr>
            <w:r>
              <w:rPr>
                <w:b/>
                <w:bCs/>
                <w:color w:val="000000" w:themeColor="text1"/>
                <w:sz w:val="18"/>
                <w:szCs w:val="21"/>
                <w14:textFill>
                  <w14:solidFill>
                    <w14:schemeClr w14:val="tx1"/>
                  </w14:solidFill>
                </w14:textFill>
              </w:rPr>
              <w:t>表</w:t>
            </w:r>
            <w:r>
              <w:rPr>
                <w:rFonts w:hint="eastAsia"/>
                <w:b/>
                <w:bCs/>
                <w:color w:val="000000" w:themeColor="text1"/>
                <w:sz w:val="18"/>
                <w:szCs w:val="21"/>
                <w14:textFill>
                  <w14:solidFill>
                    <w14:schemeClr w14:val="tx1"/>
                  </w14:solidFill>
                </w14:textFill>
              </w:rPr>
              <w:t>2-</w:t>
            </w:r>
            <w:r>
              <w:rPr>
                <w:rFonts w:hint="eastAsia"/>
                <w:b/>
                <w:bCs/>
                <w:color w:val="000000" w:themeColor="text1"/>
                <w:sz w:val="18"/>
                <w:szCs w:val="21"/>
                <w:lang w:val="en-US" w:eastAsia="zh-CN"/>
                <w14:textFill>
                  <w14:solidFill>
                    <w14:schemeClr w14:val="tx1"/>
                  </w14:solidFill>
                </w14:textFill>
              </w:rPr>
              <w:t>6</w:t>
            </w:r>
            <w:r>
              <w:rPr>
                <w:b/>
                <w:bCs/>
                <w:color w:val="000000" w:themeColor="text1"/>
                <w:sz w:val="18"/>
                <w:szCs w:val="21"/>
                <w14:textFill>
                  <w14:solidFill>
                    <w14:schemeClr w14:val="tx1"/>
                  </w14:solidFill>
                </w14:textFill>
              </w:rPr>
              <w:t xml:space="preserve"> </w:t>
            </w:r>
            <w:r>
              <w:rPr>
                <w:rFonts w:hint="eastAsia"/>
                <w:b/>
                <w:bCs/>
                <w:color w:val="000000" w:themeColor="text1"/>
                <w:sz w:val="18"/>
                <w:szCs w:val="21"/>
                <w14:textFill>
                  <w14:solidFill>
                    <w14:schemeClr w14:val="tx1"/>
                  </w14:solidFill>
                </w14:textFill>
              </w:rPr>
              <w:t>项目</w:t>
            </w:r>
            <w:r>
              <w:rPr>
                <w:b/>
                <w:bCs/>
                <w:color w:val="000000" w:themeColor="text1"/>
                <w:sz w:val="18"/>
                <w:szCs w:val="21"/>
                <w14:textFill>
                  <w14:solidFill>
                    <w14:schemeClr w14:val="tx1"/>
                  </w14:solidFill>
                </w14:textFill>
              </w:rPr>
              <w:t>原辅材料消耗一览表</w:t>
            </w:r>
            <w:r>
              <w:rPr>
                <w:rFonts w:hint="eastAsia"/>
                <w:b/>
                <w:bCs/>
                <w:color w:val="000000" w:themeColor="text1"/>
                <w:sz w:val="18"/>
                <w:szCs w:val="21"/>
                <w:lang w:eastAsia="zh-CN"/>
                <w14:textFill>
                  <w14:solidFill>
                    <w14:schemeClr w14:val="tx1"/>
                  </w14:solidFill>
                </w14:textFill>
              </w:rPr>
              <w:t>，单位：</w:t>
            </w:r>
            <w:r>
              <w:rPr>
                <w:rFonts w:hint="eastAsia"/>
                <w:b/>
                <w:bCs/>
                <w:color w:val="000000" w:themeColor="text1"/>
                <w:sz w:val="18"/>
                <w:szCs w:val="21"/>
                <w:lang w:val="en-US" w:eastAsia="zh-CN"/>
                <w14:textFill>
                  <w14:solidFill>
                    <w14:schemeClr w14:val="tx1"/>
                  </w14:solidFill>
                </w14:textFill>
              </w:rPr>
              <w:t>t/a</w:t>
            </w:r>
          </w:p>
          <w:tbl>
            <w:tblPr>
              <w:tblStyle w:val="30"/>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36"/>
              <w:gridCol w:w="1473"/>
              <w:gridCol w:w="2389"/>
              <w:gridCol w:w="1900"/>
              <w:gridCol w:w="220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4" w:type="pct"/>
                  <w:vAlign w:val="center"/>
                </w:tcPr>
                <w:p>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序号</w:t>
                  </w:r>
                </w:p>
              </w:tc>
              <w:tc>
                <w:tcPr>
                  <w:tcW w:w="783" w:type="pct"/>
                  <w:vAlign w:val="center"/>
                </w:tcPr>
                <w:p>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名称</w:t>
                  </w:r>
                </w:p>
              </w:tc>
              <w:tc>
                <w:tcPr>
                  <w:tcW w:w="1270" w:type="pct"/>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环评</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及批复</w:t>
                  </w:r>
                  <w:r>
                    <w:rPr>
                      <w:rFonts w:hint="default" w:ascii="Times New Roman" w:hAnsi="Times New Roman" w:eastAsia="宋体" w:cs="Times New Roman"/>
                      <w:color w:val="000000" w:themeColor="text1"/>
                      <w:sz w:val="21"/>
                      <w:szCs w:val="21"/>
                      <w:highlight w:val="none"/>
                      <w14:textFill>
                        <w14:solidFill>
                          <w14:schemeClr w14:val="tx1"/>
                        </w14:solidFill>
                      </w14:textFill>
                    </w:rPr>
                    <w:t>年耗量</w:t>
                  </w:r>
                </w:p>
              </w:tc>
              <w:tc>
                <w:tcPr>
                  <w:tcW w:w="1010" w:type="pct"/>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实际年耗量</w:t>
                  </w:r>
                </w:p>
              </w:tc>
              <w:tc>
                <w:tcPr>
                  <w:tcW w:w="1171" w:type="pct"/>
                  <w:vAlign w:val="center"/>
                </w:tcPr>
                <w:p>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变化量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5"/>
                  <w:vAlign w:val="center"/>
                </w:tcPr>
                <w:p>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项目主要耗材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64"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783"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84消毒液</w:t>
                  </w:r>
                </w:p>
              </w:tc>
              <w:tc>
                <w:tcPr>
                  <w:tcW w:w="1270"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400L </w:t>
                  </w:r>
                </w:p>
              </w:tc>
              <w:tc>
                <w:tcPr>
                  <w:tcW w:w="1900" w:type="dxa"/>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400L </w:t>
                  </w:r>
                </w:p>
              </w:tc>
              <w:tc>
                <w:tcPr>
                  <w:tcW w:w="1171" w:type="pct"/>
                  <w:vAlign w:val="center"/>
                </w:tcPr>
                <w:p>
                  <w:pPr>
                    <w:keepNext w:val="0"/>
                    <w:keepLines w:val="0"/>
                    <w:pageBreakBefore w:val="0"/>
                    <w:widowControl w:val="0"/>
                    <w:kinsoku/>
                    <w:wordWrap/>
                    <w:overflowPunct/>
                    <w:autoSpaceDE/>
                    <w:autoSpaceDN/>
                    <w:bidi w:val="0"/>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64"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w:t>
                  </w:r>
                </w:p>
              </w:tc>
              <w:tc>
                <w:tcPr>
                  <w:tcW w:w="783"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一次性乳胶手套</w:t>
                  </w:r>
                </w:p>
              </w:tc>
              <w:tc>
                <w:tcPr>
                  <w:tcW w:w="1270"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60000副</w:t>
                  </w:r>
                </w:p>
              </w:tc>
              <w:tc>
                <w:tcPr>
                  <w:tcW w:w="1900" w:type="dxa"/>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60000副</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w:t>
                  </w:r>
                </w:p>
              </w:tc>
              <w:tc>
                <w:tcPr>
                  <w:tcW w:w="783"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丁腈手套</w:t>
                  </w:r>
                </w:p>
              </w:tc>
              <w:tc>
                <w:tcPr>
                  <w:tcW w:w="1270"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30000副</w:t>
                  </w:r>
                </w:p>
              </w:tc>
              <w:tc>
                <w:tcPr>
                  <w:tcW w:w="1900" w:type="dxa"/>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30000副</w:t>
                  </w:r>
                </w:p>
              </w:tc>
              <w:tc>
                <w:tcPr>
                  <w:tcW w:w="1171" w:type="pct"/>
                  <w:vAlign w:val="center"/>
                </w:tcPr>
                <w:p>
                  <w:pPr>
                    <w:keepNext w:val="0"/>
                    <w:keepLines w:val="0"/>
                    <w:pageBreakBefore w:val="0"/>
                    <w:widowControl w:val="0"/>
                    <w:kinsoku/>
                    <w:wordWrap/>
                    <w:overflowPunct/>
                    <w:autoSpaceDE/>
                    <w:autoSpaceDN/>
                    <w:bidi w:val="0"/>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4</w:t>
                  </w:r>
                </w:p>
              </w:tc>
              <w:tc>
                <w:tcPr>
                  <w:tcW w:w="783"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一次性口罩</w:t>
                  </w:r>
                </w:p>
              </w:tc>
              <w:tc>
                <w:tcPr>
                  <w:tcW w:w="1270"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100000只</w:t>
                  </w:r>
                </w:p>
              </w:tc>
              <w:tc>
                <w:tcPr>
                  <w:tcW w:w="1900" w:type="dxa"/>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100000只</w:t>
                  </w:r>
                </w:p>
              </w:tc>
              <w:tc>
                <w:tcPr>
                  <w:tcW w:w="1171" w:type="pct"/>
                  <w:vAlign w:val="center"/>
                </w:tcPr>
                <w:p>
                  <w:pPr>
                    <w:keepNext w:val="0"/>
                    <w:keepLines w:val="0"/>
                    <w:pageBreakBefore w:val="0"/>
                    <w:widowControl w:val="0"/>
                    <w:kinsoku/>
                    <w:wordWrap/>
                    <w:overflowPunct/>
                    <w:autoSpaceDE/>
                    <w:autoSpaceDN/>
                    <w:bidi w:val="0"/>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w:t>
                  </w:r>
                </w:p>
              </w:tc>
              <w:tc>
                <w:tcPr>
                  <w:tcW w:w="783"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一次性无纺布头套</w:t>
                  </w:r>
                </w:p>
              </w:tc>
              <w:tc>
                <w:tcPr>
                  <w:tcW w:w="1270"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40000只</w:t>
                  </w:r>
                </w:p>
              </w:tc>
              <w:tc>
                <w:tcPr>
                  <w:tcW w:w="1900" w:type="dxa"/>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40000只</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w:t>
                  </w:r>
                </w:p>
              </w:tc>
              <w:tc>
                <w:tcPr>
                  <w:tcW w:w="783"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一次性无纺布鞋套</w:t>
                  </w:r>
                </w:p>
              </w:tc>
              <w:tc>
                <w:tcPr>
                  <w:tcW w:w="1270"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20000只</w:t>
                  </w:r>
                </w:p>
              </w:tc>
              <w:tc>
                <w:tcPr>
                  <w:tcW w:w="1900" w:type="dxa"/>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20000只</w:t>
                  </w:r>
                </w:p>
              </w:tc>
              <w:tc>
                <w:tcPr>
                  <w:tcW w:w="1171" w:type="pct"/>
                  <w:vAlign w:val="center"/>
                </w:tcPr>
                <w:p>
                  <w:pPr>
                    <w:keepNext w:val="0"/>
                    <w:keepLines w:val="0"/>
                    <w:pageBreakBefore w:val="0"/>
                    <w:widowControl w:val="0"/>
                    <w:kinsoku/>
                    <w:wordWrap/>
                    <w:overflowPunct/>
                    <w:autoSpaceDE/>
                    <w:autoSpaceDN/>
                    <w:bidi w:val="0"/>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7</w:t>
                  </w:r>
                </w:p>
              </w:tc>
              <w:tc>
                <w:tcPr>
                  <w:tcW w:w="783"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载玻片</w:t>
                  </w:r>
                </w:p>
              </w:tc>
              <w:tc>
                <w:tcPr>
                  <w:tcW w:w="1270"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10000片</w:t>
                  </w:r>
                </w:p>
              </w:tc>
              <w:tc>
                <w:tcPr>
                  <w:tcW w:w="1900" w:type="dxa"/>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10000片</w:t>
                  </w:r>
                </w:p>
              </w:tc>
              <w:tc>
                <w:tcPr>
                  <w:tcW w:w="1171" w:type="pct"/>
                  <w:vAlign w:val="center"/>
                </w:tcPr>
                <w:p>
                  <w:pPr>
                    <w:keepNext w:val="0"/>
                    <w:keepLines w:val="0"/>
                    <w:pageBreakBefore w:val="0"/>
                    <w:widowControl w:val="0"/>
                    <w:kinsoku/>
                    <w:wordWrap/>
                    <w:overflowPunct/>
                    <w:autoSpaceDE/>
                    <w:autoSpaceDN/>
                    <w:bidi w:val="0"/>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8</w:t>
                  </w:r>
                </w:p>
              </w:tc>
              <w:tc>
                <w:tcPr>
                  <w:tcW w:w="783"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盖玻片</w:t>
                  </w:r>
                </w:p>
              </w:tc>
              <w:tc>
                <w:tcPr>
                  <w:tcW w:w="1270"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30000片</w:t>
                  </w:r>
                </w:p>
              </w:tc>
              <w:tc>
                <w:tcPr>
                  <w:tcW w:w="1900" w:type="dxa"/>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30000片</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9</w:t>
                  </w:r>
                </w:p>
              </w:tc>
              <w:tc>
                <w:tcPr>
                  <w:tcW w:w="783"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培养皿</w:t>
                  </w:r>
                </w:p>
              </w:tc>
              <w:tc>
                <w:tcPr>
                  <w:tcW w:w="1270"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10000个</w:t>
                  </w:r>
                </w:p>
              </w:tc>
              <w:tc>
                <w:tcPr>
                  <w:tcW w:w="1900" w:type="dxa"/>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10000个</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c>
                <w:tcPr>
                  <w:tcW w:w="783"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注射器</w:t>
                  </w:r>
                </w:p>
              </w:tc>
              <w:tc>
                <w:tcPr>
                  <w:tcW w:w="1270"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80000支</w:t>
                  </w:r>
                </w:p>
              </w:tc>
              <w:tc>
                <w:tcPr>
                  <w:tcW w:w="1900" w:type="dxa"/>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80000支</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11</w:t>
                  </w:r>
                </w:p>
              </w:tc>
              <w:tc>
                <w:tcPr>
                  <w:tcW w:w="783"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脱脂棉</w:t>
                  </w:r>
                </w:p>
              </w:tc>
              <w:tc>
                <w:tcPr>
                  <w:tcW w:w="1270"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5包</w:t>
                  </w:r>
                </w:p>
              </w:tc>
              <w:tc>
                <w:tcPr>
                  <w:tcW w:w="1900" w:type="dxa"/>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5包</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12</w:t>
                  </w:r>
                </w:p>
              </w:tc>
              <w:tc>
                <w:tcPr>
                  <w:tcW w:w="783"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滤纸</w:t>
                  </w:r>
                </w:p>
              </w:tc>
              <w:tc>
                <w:tcPr>
                  <w:tcW w:w="1270"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25箱</w:t>
                  </w:r>
                </w:p>
              </w:tc>
              <w:tc>
                <w:tcPr>
                  <w:tcW w:w="1900" w:type="dxa"/>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25箱</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13</w:t>
                  </w:r>
                </w:p>
              </w:tc>
              <w:tc>
                <w:tcPr>
                  <w:tcW w:w="783"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PH试纸</w:t>
                  </w:r>
                </w:p>
              </w:tc>
              <w:tc>
                <w:tcPr>
                  <w:tcW w:w="1270"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20盒</w:t>
                  </w:r>
                </w:p>
              </w:tc>
              <w:tc>
                <w:tcPr>
                  <w:tcW w:w="1900" w:type="dxa"/>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20盒</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14</w:t>
                  </w:r>
                </w:p>
              </w:tc>
              <w:tc>
                <w:tcPr>
                  <w:tcW w:w="783"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自封袋</w:t>
                  </w:r>
                </w:p>
              </w:tc>
              <w:tc>
                <w:tcPr>
                  <w:tcW w:w="1270"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30000个</w:t>
                  </w:r>
                </w:p>
              </w:tc>
              <w:tc>
                <w:tcPr>
                  <w:tcW w:w="1900" w:type="dxa"/>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30000个</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15</w:t>
                  </w:r>
                </w:p>
              </w:tc>
              <w:tc>
                <w:tcPr>
                  <w:tcW w:w="783"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毛细吸管</w:t>
                  </w:r>
                </w:p>
              </w:tc>
              <w:tc>
                <w:tcPr>
                  <w:tcW w:w="1270"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20盒</w:t>
                  </w:r>
                </w:p>
              </w:tc>
              <w:tc>
                <w:tcPr>
                  <w:tcW w:w="1900" w:type="dxa"/>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20盒</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16</w:t>
                  </w:r>
                </w:p>
              </w:tc>
              <w:tc>
                <w:tcPr>
                  <w:tcW w:w="783"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细胞培养瓶</w:t>
                  </w:r>
                </w:p>
              </w:tc>
              <w:tc>
                <w:tcPr>
                  <w:tcW w:w="1270"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30000个</w:t>
                  </w:r>
                </w:p>
              </w:tc>
              <w:tc>
                <w:tcPr>
                  <w:tcW w:w="1900" w:type="dxa"/>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30000个</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17</w:t>
                  </w:r>
                </w:p>
              </w:tc>
              <w:tc>
                <w:tcPr>
                  <w:tcW w:w="783"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试管</w:t>
                  </w:r>
                </w:p>
              </w:tc>
              <w:tc>
                <w:tcPr>
                  <w:tcW w:w="1270"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5000个</w:t>
                  </w:r>
                </w:p>
              </w:tc>
              <w:tc>
                <w:tcPr>
                  <w:tcW w:w="1900" w:type="dxa"/>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5000个</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18</w:t>
                  </w:r>
                </w:p>
              </w:tc>
              <w:tc>
                <w:tcPr>
                  <w:tcW w:w="783"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烧杯、量筒、锥形瓶</w:t>
                  </w:r>
                </w:p>
              </w:tc>
              <w:tc>
                <w:tcPr>
                  <w:tcW w:w="1270"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10000个</w:t>
                  </w:r>
                </w:p>
              </w:tc>
              <w:tc>
                <w:tcPr>
                  <w:tcW w:w="1900" w:type="dxa"/>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10000个</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19</w:t>
                  </w:r>
                </w:p>
              </w:tc>
              <w:tc>
                <w:tcPr>
                  <w:tcW w:w="783"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硝酸纤维素膜/PVDF膜/尼龙膜</w:t>
                  </w:r>
                </w:p>
              </w:tc>
              <w:tc>
                <w:tcPr>
                  <w:tcW w:w="1270"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5卷</w:t>
                  </w:r>
                </w:p>
              </w:tc>
              <w:tc>
                <w:tcPr>
                  <w:tcW w:w="1900" w:type="dxa"/>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5卷</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20</w:t>
                  </w:r>
                </w:p>
              </w:tc>
              <w:tc>
                <w:tcPr>
                  <w:tcW w:w="783"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动物饲料</w:t>
                  </w:r>
                </w:p>
              </w:tc>
              <w:tc>
                <w:tcPr>
                  <w:tcW w:w="1270"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250t</w:t>
                  </w:r>
                </w:p>
              </w:tc>
              <w:tc>
                <w:tcPr>
                  <w:tcW w:w="1900" w:type="dxa"/>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250t</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21</w:t>
                  </w:r>
                </w:p>
              </w:tc>
              <w:tc>
                <w:tcPr>
                  <w:tcW w:w="783"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动物垫料</w:t>
                  </w:r>
                </w:p>
              </w:tc>
              <w:tc>
                <w:tcPr>
                  <w:tcW w:w="1270"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600t</w:t>
                  </w:r>
                </w:p>
              </w:tc>
              <w:tc>
                <w:tcPr>
                  <w:tcW w:w="1900" w:type="dxa"/>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600t</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22</w:t>
                  </w:r>
                </w:p>
              </w:tc>
              <w:tc>
                <w:tcPr>
                  <w:tcW w:w="783"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洗衣液</w:t>
                  </w:r>
                </w:p>
              </w:tc>
              <w:tc>
                <w:tcPr>
                  <w:tcW w:w="1270"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100kg</w:t>
                  </w:r>
                </w:p>
              </w:tc>
              <w:tc>
                <w:tcPr>
                  <w:tcW w:w="1900" w:type="dxa"/>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100kg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23</w:t>
                  </w:r>
                </w:p>
              </w:tc>
              <w:tc>
                <w:tcPr>
                  <w:tcW w:w="783"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含氯消毒片</w:t>
                  </w:r>
                </w:p>
              </w:tc>
              <w:tc>
                <w:tcPr>
                  <w:tcW w:w="1270" w:type="pct"/>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100kg</w:t>
                  </w:r>
                </w:p>
              </w:tc>
              <w:tc>
                <w:tcPr>
                  <w:tcW w:w="1900" w:type="dxa"/>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100kg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项目主要实验试剂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碳酸钠</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120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120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碳酸钾</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碳酸铵</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碳酸氢钠</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120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120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磷酸钠</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三磷酸钠</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7</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磷酸氢二钠</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8</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磷酸二氢钠</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9</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磷酸氢二钾</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磷酸二氢钾</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11</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氯化钠</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120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120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12</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氯化钾</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13</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氯化钙</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14</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氯化铵</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氯化镁</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16</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氯化钡</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17</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三氯化铁</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18</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三氯化铝</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19</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三氯化铬</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20</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三氯化钛</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21</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硫酸铵</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22</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硫酸钠</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23</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硫酸钾</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24</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硫酸铜</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硫酸锌</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26</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硫酸铁</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27</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硫酸锰</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28</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硫酸肼</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29</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硝酸钠</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硝酸钾</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31</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硝酸铵</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32</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硝酸银</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33</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氟化钠</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34</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氟化钾</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35</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氯酸钾</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36</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溴化钾</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37</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碘酸钾</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38</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碘化钾</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39</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碘化钠</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40</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碘化汞</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41</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过氧化氢</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120L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120L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42</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过氧化钠</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120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120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43</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过硫酸铵</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44</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过硫酸钾</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45</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亚硝酸钠</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46</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亚硫酸钠</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47</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亚硫酸氢钠</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48</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氯化亚铁</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49</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硫酸亚铁</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50</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硫酸亚铁胺</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51</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亚铁氰化钾</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52</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碘单质</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53</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铝单质</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54</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五氧化二磷</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55</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四硼酸钠</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56</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硼氢化钠</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57</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硼氢化钾</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58</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钼酸铵</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59</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高锰酸钾</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60</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重铬酸钾</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61</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硫氰酸钾</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62</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硫代硫酸钠</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63</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铬酸钾</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64</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硫化钠</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65</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37%盐酸</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300L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300L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66</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98%硫酸</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150L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150L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67</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60%硝酸</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150L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150L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68</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高氯酸</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40L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40L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69</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次氯酸</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70</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磷酸</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71</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硼酸</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72</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氢氧化钠</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73</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氢氧化钾</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74</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2%氨水</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300L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300L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75</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甲酸</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40L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40L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76</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乙酸（冰醋酸）</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50L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50L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77</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三氟乙酸</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78</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乙二胺四乙酸(EDTA)</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79</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乙二胺四丙酸</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80</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巯基乙酸</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81</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柠檬酸</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82</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酒石酸</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83</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草酸</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84</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磺基水杨酸</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85</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三氟甲磺酸</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86</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没食子酸</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87</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枸橼酸</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88</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抗坏血酸（维生素C）</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89</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十二烷基苯磺酸</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90</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乙胺</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91</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巯基乙胺</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92</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三乙胺</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93</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乙二胺</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94</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三乙基四胺</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95</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乙醇胺</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96</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三乙醇胺</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20L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20L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97</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苯胺</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98</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二苯胺</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99</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吡啶</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100</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N,N-二甲基苯胺</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101</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N,N,N',N'-四甲基乙二胺（TEMED）</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102</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苯酚</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103</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对氨基苯酚</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104</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邻苯二酚</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105</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对苯二酚</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106</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硫脲</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107</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甲酸铵</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108</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乙酸铵</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109</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乙酸钠</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110</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盐酸羟胺</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111</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乙二胺四乙酸二钠</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112</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乙二胺四丙酸</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113</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草酸钠</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114</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草酸铵</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115</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草酸三氢钾</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116</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柠檬酸钠</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117</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柠檬酸三钠</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45</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45</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118</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水杨酸钠</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119</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苯甲酸钠</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120</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二苯胺磺酸钠</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121</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邻苯二甲酸氢钾</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122</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枸橼酸氢二钾</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123</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茜素磺酸钠</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124</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二巯基丙磺酸钠</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125</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十二烷基硫酸钠</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126</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十二烷基苯磺酸钠</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127</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甲醇</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450L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450L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128</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75%乙醇</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20L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20L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129</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98%乙醇</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3850L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3850L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130</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乙二醇</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131</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异丙醇</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35L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35L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132</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异丁醇</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133</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正丙醇</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134</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丙三醇</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135</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正丁醇</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136</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巯基乙醇</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137</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二硫苏糖醇（DTT）</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138</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乙腈</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200L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200L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139</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乙醚</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140</w:t>
                  </w:r>
                </w:p>
              </w:tc>
              <w:tc>
                <w:tcPr>
                  <w:tcW w:w="783"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石油醚</w:t>
                  </w:r>
                </w:p>
              </w:tc>
              <w:tc>
                <w:tcPr>
                  <w:tcW w:w="1270"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80L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80L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141</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甲基叔丁基醚</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142</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聚乙二醇辛基苯基醚（riton X-100）</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143</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甲酸甲酯</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144</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乙酸乙酯</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80L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80L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145</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乙酸酐</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146</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丙酮</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147</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丁酮</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148</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四氯化碳</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149</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正己烷</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40L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40L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150</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二甲基亚砜（DMSO）</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151</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四氢呋喃（THF）</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152</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N,N-二甲基甲酰胺（DMF）</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153</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苯</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154</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甲苯</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155</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二甲苯</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156</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间二硝基苯</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157</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丙烯酰胺</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158</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溴化乙锭</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159</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Goldview（核酸染料）--吖啶橙</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1mL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1mL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160</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焦碳酸二乙酯</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200mL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200mL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161</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二氨基联苯胺（DAB）</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162</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Style w:val="107"/>
                      <w:rFonts w:hint="default" w:ascii="Times New Roman" w:hAnsi="Times New Roman" w:eastAsia="宋体" w:cs="Times New Roman"/>
                      <w:color w:val="000000" w:themeColor="text1"/>
                      <w:sz w:val="21"/>
                      <w:szCs w:val="21"/>
                      <w:highlight w:val="none"/>
                      <w:lang w:bidi="ar"/>
                      <w14:textFill>
                        <w14:solidFill>
                          <w14:schemeClr w14:val="tx1"/>
                        </w14:solidFill>
                      </w14:textFill>
                    </w:rPr>
                    <w:t>10%叠氮钠溶液</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100mL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100mL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163</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对硝基苯酚</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250g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250g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164</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三硝基苯酚</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165</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甲基红</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250g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250g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166</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甲基橙</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250g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250g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167</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可溶性淀粉</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8kg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8kg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168</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二甲酚橙</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250g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250g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169</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铬黑T</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250g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250g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170</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石蕊指示剂</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250g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250g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171</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酚酞</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250g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250g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172</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二溴邻甲酚磺酞</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250g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250g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173</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甲酚红</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250g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250g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174</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亚甲基蓝</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250g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250g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175</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刚果红</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250g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250g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176</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姜黄素</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250g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250g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177</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钙羧酸指示剂</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250g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250g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178</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茜素红</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250g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250g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179</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钙黄绿素</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250g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250g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180</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百里酚</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250g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250g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181</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溴百里酚蓝</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250g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250g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182</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溴酚蓝</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250g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250g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183</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溴酚红</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250g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250g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184</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溴甲酚绿</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250g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250g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185</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1，10-邻二氮菲</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250g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250g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186</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丽春红染液</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100ml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100ml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187</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苏木素伊红染色剂</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100ml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100ml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188</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茚三酮</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100g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100g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189</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水合氯醛/戊巴比妥/苯巴比妥/硫喷妥钠/巴比妥钠</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190</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速眠新注射液</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300ml</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300ml</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191</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中药材</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900kg</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900kg</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主要细胞使用情况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HepG2株细胞</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2.5×10</w:t>
                  </w:r>
                  <w:r>
                    <w:rPr>
                      <w:rFonts w:hint="default" w:ascii="Times New Roman" w:hAnsi="Times New Roman" w:eastAsia="宋体" w:cs="Times New Roman"/>
                      <w:color w:val="000000" w:themeColor="text1"/>
                      <w:kern w:val="0"/>
                      <w:sz w:val="21"/>
                      <w:szCs w:val="21"/>
                      <w:highlight w:val="none"/>
                      <w:vertAlign w:val="superscript"/>
                      <w:lang w:bidi="ar"/>
                      <w14:textFill>
                        <w14:solidFill>
                          <w14:schemeClr w14:val="tx1"/>
                        </w14:solidFill>
                      </w14:textFill>
                    </w:rPr>
                    <w:t>8</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个/a</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2.5×10</w:t>
                  </w:r>
                  <w:r>
                    <w:rPr>
                      <w:rFonts w:hint="default" w:ascii="Times New Roman" w:hAnsi="Times New Roman" w:eastAsia="宋体" w:cs="Times New Roman"/>
                      <w:color w:val="000000" w:themeColor="text1"/>
                      <w:kern w:val="0"/>
                      <w:sz w:val="21"/>
                      <w:szCs w:val="21"/>
                      <w:highlight w:val="none"/>
                      <w:vertAlign w:val="superscript"/>
                      <w:lang w:bidi="ar"/>
                      <w14:textFill>
                        <w14:solidFill>
                          <w14:schemeClr w14:val="tx1"/>
                        </w14:solidFill>
                      </w14:textFill>
                    </w:rPr>
                    <w:t>8</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个/a</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Hela株细胞</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1×10</w:t>
                  </w:r>
                  <w:r>
                    <w:rPr>
                      <w:rFonts w:hint="default" w:ascii="Times New Roman" w:hAnsi="Times New Roman" w:eastAsia="宋体" w:cs="Times New Roman"/>
                      <w:color w:val="000000" w:themeColor="text1"/>
                      <w:kern w:val="0"/>
                      <w:sz w:val="21"/>
                      <w:szCs w:val="21"/>
                      <w:highlight w:val="none"/>
                      <w:vertAlign w:val="superscript"/>
                      <w:lang w:bidi="ar"/>
                      <w14:textFill>
                        <w14:solidFill>
                          <w14:schemeClr w14:val="tx1"/>
                        </w14:solidFill>
                      </w14:textFill>
                    </w:rPr>
                    <w:t>11</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个/a</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1×10</w:t>
                  </w:r>
                  <w:r>
                    <w:rPr>
                      <w:rFonts w:hint="default" w:ascii="Times New Roman" w:hAnsi="Times New Roman" w:eastAsia="宋体" w:cs="Times New Roman"/>
                      <w:color w:val="000000" w:themeColor="text1"/>
                      <w:kern w:val="0"/>
                      <w:sz w:val="21"/>
                      <w:szCs w:val="21"/>
                      <w:highlight w:val="none"/>
                      <w:vertAlign w:val="superscript"/>
                      <w:lang w:bidi="ar"/>
                      <w14:textFill>
                        <w14:solidFill>
                          <w14:schemeClr w14:val="tx1"/>
                        </w14:solidFill>
                      </w14:textFill>
                    </w:rPr>
                    <w:t>11</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个/a</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MCF7株细胞</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2.5×10</w:t>
                  </w:r>
                  <w:r>
                    <w:rPr>
                      <w:rFonts w:hint="default" w:ascii="Times New Roman" w:hAnsi="Times New Roman" w:eastAsia="宋体" w:cs="Times New Roman"/>
                      <w:color w:val="000000" w:themeColor="text1"/>
                      <w:kern w:val="0"/>
                      <w:sz w:val="21"/>
                      <w:szCs w:val="21"/>
                      <w:highlight w:val="none"/>
                      <w:vertAlign w:val="superscript"/>
                      <w:lang w:bidi="ar"/>
                      <w14:textFill>
                        <w14:solidFill>
                          <w14:schemeClr w14:val="tx1"/>
                        </w14:solidFill>
                      </w14:textFill>
                    </w:rPr>
                    <w:t>8</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个/a</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2.5×10</w:t>
                  </w:r>
                  <w:r>
                    <w:rPr>
                      <w:rFonts w:hint="default" w:ascii="Times New Roman" w:hAnsi="Times New Roman" w:eastAsia="宋体" w:cs="Times New Roman"/>
                      <w:color w:val="000000" w:themeColor="text1"/>
                      <w:kern w:val="0"/>
                      <w:sz w:val="21"/>
                      <w:szCs w:val="21"/>
                      <w:highlight w:val="none"/>
                      <w:vertAlign w:val="superscript"/>
                      <w:lang w:bidi="ar"/>
                      <w14:textFill>
                        <w14:solidFill>
                          <w14:schemeClr w14:val="tx1"/>
                        </w14:solidFill>
                      </w14:textFill>
                    </w:rPr>
                    <w:t>8</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个/a</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SW480株细胞</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2.5×10</w:t>
                  </w:r>
                  <w:r>
                    <w:rPr>
                      <w:rFonts w:hint="default" w:ascii="Times New Roman" w:hAnsi="Times New Roman" w:eastAsia="宋体" w:cs="Times New Roman"/>
                      <w:color w:val="000000" w:themeColor="text1"/>
                      <w:kern w:val="0"/>
                      <w:sz w:val="21"/>
                      <w:szCs w:val="21"/>
                      <w:highlight w:val="none"/>
                      <w:vertAlign w:val="superscript"/>
                      <w:lang w:bidi="ar"/>
                      <w14:textFill>
                        <w14:solidFill>
                          <w14:schemeClr w14:val="tx1"/>
                        </w14:solidFill>
                      </w14:textFill>
                    </w:rPr>
                    <w:t>8</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个/a</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2.5×10</w:t>
                  </w:r>
                  <w:r>
                    <w:rPr>
                      <w:rFonts w:hint="default" w:ascii="Times New Roman" w:hAnsi="Times New Roman" w:eastAsia="宋体" w:cs="Times New Roman"/>
                      <w:color w:val="000000" w:themeColor="text1"/>
                      <w:kern w:val="0"/>
                      <w:sz w:val="21"/>
                      <w:szCs w:val="21"/>
                      <w:highlight w:val="none"/>
                      <w:vertAlign w:val="superscript"/>
                      <w:lang w:bidi="ar"/>
                      <w14:textFill>
                        <w14:solidFill>
                          <w14:schemeClr w14:val="tx1"/>
                        </w14:solidFill>
                      </w14:textFill>
                    </w:rPr>
                    <w:t>8</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个/a</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A549株细胞</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2.5×10</w:t>
                  </w:r>
                  <w:r>
                    <w:rPr>
                      <w:rFonts w:hint="default" w:ascii="Times New Roman" w:hAnsi="Times New Roman" w:eastAsia="宋体" w:cs="Times New Roman"/>
                      <w:color w:val="000000" w:themeColor="text1"/>
                      <w:kern w:val="0"/>
                      <w:sz w:val="21"/>
                      <w:szCs w:val="21"/>
                      <w:highlight w:val="none"/>
                      <w:vertAlign w:val="superscript"/>
                      <w:lang w:bidi="ar"/>
                      <w14:textFill>
                        <w14:solidFill>
                          <w14:schemeClr w14:val="tx1"/>
                        </w14:solidFill>
                      </w14:textFill>
                    </w:rPr>
                    <w:t>8</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个/a</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2.5×10</w:t>
                  </w:r>
                  <w:r>
                    <w:rPr>
                      <w:rFonts w:hint="default" w:ascii="Times New Roman" w:hAnsi="Times New Roman" w:eastAsia="宋体" w:cs="Times New Roman"/>
                      <w:color w:val="000000" w:themeColor="text1"/>
                      <w:kern w:val="0"/>
                      <w:sz w:val="21"/>
                      <w:szCs w:val="21"/>
                      <w:highlight w:val="none"/>
                      <w:vertAlign w:val="superscript"/>
                      <w:lang w:bidi="ar"/>
                      <w14:textFill>
                        <w14:solidFill>
                          <w14:schemeClr w14:val="tx1"/>
                        </w14:solidFill>
                      </w14:textFill>
                    </w:rPr>
                    <w:t>8</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个/a</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NK-92株细胞</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2.5×10</w:t>
                  </w:r>
                  <w:r>
                    <w:rPr>
                      <w:rFonts w:hint="default" w:ascii="Times New Roman" w:hAnsi="Times New Roman" w:eastAsia="宋体" w:cs="Times New Roman"/>
                      <w:color w:val="000000" w:themeColor="text1"/>
                      <w:kern w:val="0"/>
                      <w:sz w:val="21"/>
                      <w:szCs w:val="21"/>
                      <w:highlight w:val="none"/>
                      <w:vertAlign w:val="superscript"/>
                      <w:lang w:bidi="ar"/>
                      <w14:textFill>
                        <w14:solidFill>
                          <w14:schemeClr w14:val="tx1"/>
                        </w14:solidFill>
                      </w14:textFill>
                    </w:rPr>
                    <w:t>8</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个/a</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2.5×10</w:t>
                  </w:r>
                  <w:r>
                    <w:rPr>
                      <w:rFonts w:hint="default" w:ascii="Times New Roman" w:hAnsi="Times New Roman" w:eastAsia="宋体" w:cs="Times New Roman"/>
                      <w:color w:val="000000" w:themeColor="text1"/>
                      <w:kern w:val="0"/>
                      <w:sz w:val="21"/>
                      <w:szCs w:val="21"/>
                      <w:highlight w:val="none"/>
                      <w:vertAlign w:val="superscript"/>
                      <w:lang w:bidi="ar"/>
                      <w14:textFill>
                        <w14:solidFill>
                          <w14:schemeClr w14:val="tx1"/>
                        </w14:solidFill>
                      </w14:textFill>
                    </w:rPr>
                    <w:t>8</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个/a</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7</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PANC-1株细胞</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2.5×10</w:t>
                  </w:r>
                  <w:r>
                    <w:rPr>
                      <w:rFonts w:hint="default" w:ascii="Times New Roman" w:hAnsi="Times New Roman" w:eastAsia="宋体" w:cs="Times New Roman"/>
                      <w:color w:val="000000" w:themeColor="text1"/>
                      <w:kern w:val="0"/>
                      <w:sz w:val="21"/>
                      <w:szCs w:val="21"/>
                      <w:highlight w:val="none"/>
                      <w:vertAlign w:val="superscript"/>
                      <w:lang w:bidi="ar"/>
                      <w14:textFill>
                        <w14:solidFill>
                          <w14:schemeClr w14:val="tx1"/>
                        </w14:solidFill>
                      </w14:textFill>
                    </w:rPr>
                    <w:t>8</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个/a</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2.5×10</w:t>
                  </w:r>
                  <w:r>
                    <w:rPr>
                      <w:rFonts w:hint="default" w:ascii="Times New Roman" w:hAnsi="Times New Roman" w:eastAsia="宋体" w:cs="Times New Roman"/>
                      <w:color w:val="000000" w:themeColor="text1"/>
                      <w:kern w:val="0"/>
                      <w:sz w:val="21"/>
                      <w:szCs w:val="21"/>
                      <w:highlight w:val="none"/>
                      <w:vertAlign w:val="superscript"/>
                      <w:lang w:bidi="ar"/>
                      <w14:textFill>
                        <w14:solidFill>
                          <w14:schemeClr w14:val="tx1"/>
                        </w14:solidFill>
                      </w14:textFill>
                    </w:rPr>
                    <w:t>8</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个/a</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8</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HL-60株细胞</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2.5×10</w:t>
                  </w:r>
                  <w:r>
                    <w:rPr>
                      <w:rFonts w:hint="default" w:ascii="Times New Roman" w:hAnsi="Times New Roman" w:eastAsia="宋体" w:cs="Times New Roman"/>
                      <w:color w:val="000000" w:themeColor="text1"/>
                      <w:kern w:val="0"/>
                      <w:sz w:val="21"/>
                      <w:szCs w:val="21"/>
                      <w:highlight w:val="none"/>
                      <w:vertAlign w:val="superscript"/>
                      <w:lang w:bidi="ar"/>
                      <w14:textFill>
                        <w14:solidFill>
                          <w14:schemeClr w14:val="tx1"/>
                        </w14:solidFill>
                      </w14:textFill>
                    </w:rPr>
                    <w:t>8</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个/a</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2.5×10</w:t>
                  </w:r>
                  <w:r>
                    <w:rPr>
                      <w:rFonts w:hint="default" w:ascii="Times New Roman" w:hAnsi="Times New Roman" w:eastAsia="宋体" w:cs="Times New Roman"/>
                      <w:color w:val="000000" w:themeColor="text1"/>
                      <w:kern w:val="0"/>
                      <w:sz w:val="21"/>
                      <w:szCs w:val="21"/>
                      <w:highlight w:val="none"/>
                      <w:vertAlign w:val="superscript"/>
                      <w:lang w:bidi="ar"/>
                      <w14:textFill>
                        <w14:solidFill>
                          <w14:schemeClr w14:val="tx1"/>
                        </w14:solidFill>
                      </w14:textFill>
                    </w:rPr>
                    <w:t>8</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个/a</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9</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KB株细胞</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2.5×10</w:t>
                  </w:r>
                  <w:r>
                    <w:rPr>
                      <w:rFonts w:hint="default" w:ascii="Times New Roman" w:hAnsi="Times New Roman" w:eastAsia="宋体" w:cs="Times New Roman"/>
                      <w:color w:val="000000" w:themeColor="text1"/>
                      <w:kern w:val="0"/>
                      <w:sz w:val="21"/>
                      <w:szCs w:val="21"/>
                      <w:highlight w:val="none"/>
                      <w:vertAlign w:val="superscript"/>
                      <w:lang w:bidi="ar"/>
                      <w14:textFill>
                        <w14:solidFill>
                          <w14:schemeClr w14:val="tx1"/>
                        </w14:solidFill>
                      </w14:textFill>
                    </w:rPr>
                    <w:t>8</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个/a</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2.5×10</w:t>
                  </w:r>
                  <w:r>
                    <w:rPr>
                      <w:rFonts w:hint="default" w:ascii="Times New Roman" w:hAnsi="Times New Roman" w:eastAsia="宋体" w:cs="Times New Roman"/>
                      <w:color w:val="000000" w:themeColor="text1"/>
                      <w:kern w:val="0"/>
                      <w:sz w:val="21"/>
                      <w:szCs w:val="21"/>
                      <w:highlight w:val="none"/>
                      <w:vertAlign w:val="superscript"/>
                      <w:lang w:bidi="ar"/>
                      <w14:textFill>
                        <w14:solidFill>
                          <w14:schemeClr w14:val="tx1"/>
                        </w14:solidFill>
                      </w14:textFill>
                    </w:rPr>
                    <w:t>8</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个/a</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SP2/0小鼠骨髓瘤细胞</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1×10</w:t>
                  </w:r>
                  <w:r>
                    <w:rPr>
                      <w:rFonts w:hint="default" w:ascii="Times New Roman" w:hAnsi="Times New Roman" w:eastAsia="宋体" w:cs="Times New Roman"/>
                      <w:color w:val="000000" w:themeColor="text1"/>
                      <w:kern w:val="0"/>
                      <w:sz w:val="21"/>
                      <w:szCs w:val="21"/>
                      <w:highlight w:val="none"/>
                      <w:vertAlign w:val="superscript"/>
                      <w:lang w:bidi="ar"/>
                      <w14:textFill>
                        <w14:solidFill>
                          <w14:schemeClr w14:val="tx1"/>
                        </w14:solidFill>
                      </w14:textFill>
                    </w:rPr>
                    <w:t>11</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个/a</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1×10</w:t>
                  </w:r>
                  <w:r>
                    <w:rPr>
                      <w:rFonts w:hint="default" w:ascii="Times New Roman" w:hAnsi="Times New Roman" w:eastAsia="宋体" w:cs="Times New Roman"/>
                      <w:color w:val="000000" w:themeColor="text1"/>
                      <w:kern w:val="0"/>
                      <w:sz w:val="21"/>
                      <w:szCs w:val="21"/>
                      <w:highlight w:val="none"/>
                      <w:vertAlign w:val="superscript"/>
                      <w:lang w:bidi="ar"/>
                      <w14:textFill>
                        <w14:solidFill>
                          <w14:schemeClr w14:val="tx1"/>
                        </w14:solidFill>
                      </w14:textFill>
                    </w:rPr>
                    <w:t>11</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个/a</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11</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4T1小鼠乳腺癌细胞</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1×10</w:t>
                  </w:r>
                  <w:r>
                    <w:rPr>
                      <w:rFonts w:hint="default" w:ascii="Times New Roman" w:hAnsi="Times New Roman" w:eastAsia="宋体" w:cs="Times New Roman"/>
                      <w:color w:val="000000" w:themeColor="text1"/>
                      <w:kern w:val="0"/>
                      <w:sz w:val="21"/>
                      <w:szCs w:val="21"/>
                      <w:highlight w:val="none"/>
                      <w:vertAlign w:val="superscript"/>
                      <w:lang w:bidi="ar"/>
                      <w14:textFill>
                        <w14:solidFill>
                          <w14:schemeClr w14:val="tx1"/>
                        </w14:solidFill>
                      </w14:textFill>
                    </w:rPr>
                    <w:t>11</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个/a</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1×10</w:t>
                  </w:r>
                  <w:r>
                    <w:rPr>
                      <w:rFonts w:hint="default" w:ascii="Times New Roman" w:hAnsi="Times New Roman" w:eastAsia="宋体" w:cs="Times New Roman"/>
                      <w:color w:val="000000" w:themeColor="text1"/>
                      <w:kern w:val="0"/>
                      <w:sz w:val="21"/>
                      <w:szCs w:val="21"/>
                      <w:highlight w:val="none"/>
                      <w:vertAlign w:val="superscript"/>
                      <w:lang w:bidi="ar"/>
                      <w14:textFill>
                        <w14:solidFill>
                          <w14:schemeClr w14:val="tx1"/>
                        </w14:solidFill>
                      </w14:textFill>
                    </w:rPr>
                    <w:t>11</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个/a</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12</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Jensen大鼠肉瘤细胞</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1×10</w:t>
                  </w:r>
                  <w:r>
                    <w:rPr>
                      <w:rFonts w:hint="default" w:ascii="Times New Roman" w:hAnsi="Times New Roman" w:eastAsia="宋体" w:cs="Times New Roman"/>
                      <w:color w:val="000000" w:themeColor="text1"/>
                      <w:kern w:val="0"/>
                      <w:sz w:val="21"/>
                      <w:szCs w:val="21"/>
                      <w:highlight w:val="none"/>
                      <w:vertAlign w:val="superscript"/>
                      <w:lang w:bidi="ar"/>
                      <w14:textFill>
                        <w14:solidFill>
                          <w14:schemeClr w14:val="tx1"/>
                        </w14:solidFill>
                      </w14:textFill>
                    </w:rPr>
                    <w:t>11</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个/a</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1×10</w:t>
                  </w:r>
                  <w:r>
                    <w:rPr>
                      <w:rFonts w:hint="default" w:ascii="Times New Roman" w:hAnsi="Times New Roman" w:eastAsia="宋体" w:cs="Times New Roman"/>
                      <w:color w:val="000000" w:themeColor="text1"/>
                      <w:kern w:val="0"/>
                      <w:sz w:val="21"/>
                      <w:szCs w:val="21"/>
                      <w:highlight w:val="none"/>
                      <w:vertAlign w:val="superscript"/>
                      <w:lang w:bidi="ar"/>
                      <w14:textFill>
                        <w14:solidFill>
                          <w14:schemeClr w14:val="tx1"/>
                        </w14:solidFill>
                      </w14:textFill>
                    </w:rPr>
                    <w:t>11</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个/a</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13</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S180小鼠肉瘤细胞</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2.5×10</w:t>
                  </w:r>
                  <w:r>
                    <w:rPr>
                      <w:rFonts w:hint="default" w:ascii="Times New Roman" w:hAnsi="Times New Roman" w:eastAsia="宋体" w:cs="Times New Roman"/>
                      <w:color w:val="000000" w:themeColor="text1"/>
                      <w:kern w:val="0"/>
                      <w:sz w:val="21"/>
                      <w:szCs w:val="21"/>
                      <w:highlight w:val="none"/>
                      <w:vertAlign w:val="superscript"/>
                      <w:lang w:bidi="ar"/>
                      <w14:textFill>
                        <w14:solidFill>
                          <w14:schemeClr w14:val="tx1"/>
                        </w14:solidFill>
                      </w14:textFill>
                    </w:rPr>
                    <w:t>8</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个/a</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2.5×10</w:t>
                  </w:r>
                  <w:r>
                    <w:rPr>
                      <w:rFonts w:hint="default" w:ascii="Times New Roman" w:hAnsi="Times New Roman" w:eastAsia="宋体" w:cs="Times New Roman"/>
                      <w:color w:val="000000" w:themeColor="text1"/>
                      <w:kern w:val="0"/>
                      <w:sz w:val="21"/>
                      <w:szCs w:val="21"/>
                      <w:highlight w:val="none"/>
                      <w:vertAlign w:val="superscript"/>
                      <w:lang w:bidi="ar"/>
                      <w14:textFill>
                        <w14:solidFill>
                          <w14:schemeClr w14:val="tx1"/>
                        </w14:solidFill>
                      </w14:textFill>
                    </w:rPr>
                    <w:t>8</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个/a</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14</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H22小鼠肝癌细胞</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2.5×10</w:t>
                  </w:r>
                  <w:r>
                    <w:rPr>
                      <w:rFonts w:hint="default" w:ascii="Times New Roman" w:hAnsi="Times New Roman" w:eastAsia="宋体" w:cs="Times New Roman"/>
                      <w:color w:val="000000" w:themeColor="text1"/>
                      <w:kern w:val="0"/>
                      <w:sz w:val="21"/>
                      <w:szCs w:val="21"/>
                      <w:highlight w:val="none"/>
                      <w:vertAlign w:val="superscript"/>
                      <w:lang w:bidi="ar"/>
                      <w14:textFill>
                        <w14:solidFill>
                          <w14:schemeClr w14:val="tx1"/>
                        </w14:solidFill>
                      </w14:textFill>
                    </w:rPr>
                    <w:t>8</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个/a</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2.5×10</w:t>
                  </w:r>
                  <w:r>
                    <w:rPr>
                      <w:rFonts w:hint="default" w:ascii="Times New Roman" w:hAnsi="Times New Roman" w:eastAsia="宋体" w:cs="Times New Roman"/>
                      <w:color w:val="000000" w:themeColor="text1"/>
                      <w:kern w:val="0"/>
                      <w:sz w:val="21"/>
                      <w:szCs w:val="21"/>
                      <w:highlight w:val="none"/>
                      <w:vertAlign w:val="superscript"/>
                      <w:lang w:bidi="ar"/>
                      <w14:textFill>
                        <w14:solidFill>
                          <w14:schemeClr w14:val="tx1"/>
                        </w14:solidFill>
                      </w14:textFill>
                    </w:rPr>
                    <w:t>8</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个/a</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15</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PC12大鼠肾上腺嗜铬细胞瘤</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1×10</w:t>
                  </w:r>
                  <w:r>
                    <w:rPr>
                      <w:rFonts w:hint="default" w:ascii="Times New Roman" w:hAnsi="Times New Roman" w:eastAsia="宋体" w:cs="Times New Roman"/>
                      <w:color w:val="000000" w:themeColor="text1"/>
                      <w:kern w:val="0"/>
                      <w:sz w:val="21"/>
                      <w:szCs w:val="21"/>
                      <w:highlight w:val="none"/>
                      <w:vertAlign w:val="superscript"/>
                      <w:lang w:bidi="ar"/>
                      <w14:textFill>
                        <w14:solidFill>
                          <w14:schemeClr w14:val="tx1"/>
                        </w14:solidFill>
                      </w14:textFill>
                    </w:rPr>
                    <w:t>11</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个/a</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1×10</w:t>
                  </w:r>
                  <w:r>
                    <w:rPr>
                      <w:rFonts w:hint="default" w:ascii="Times New Roman" w:hAnsi="Times New Roman" w:eastAsia="宋体" w:cs="Times New Roman"/>
                      <w:color w:val="000000" w:themeColor="text1"/>
                      <w:kern w:val="0"/>
                      <w:sz w:val="21"/>
                      <w:szCs w:val="21"/>
                      <w:highlight w:val="none"/>
                      <w:vertAlign w:val="superscript"/>
                      <w:lang w:bidi="ar"/>
                      <w14:textFill>
                        <w14:solidFill>
                          <w14:schemeClr w14:val="tx1"/>
                        </w14:solidFill>
                      </w14:textFill>
                    </w:rPr>
                    <w:t>11</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个/a</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16</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JAA-F11(小鼠B细胞)</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1×10</w:t>
                  </w:r>
                  <w:r>
                    <w:rPr>
                      <w:rFonts w:hint="default" w:ascii="Times New Roman" w:hAnsi="Times New Roman" w:eastAsia="宋体" w:cs="Times New Roman"/>
                      <w:color w:val="000000" w:themeColor="text1"/>
                      <w:kern w:val="0"/>
                      <w:sz w:val="21"/>
                      <w:szCs w:val="21"/>
                      <w:highlight w:val="none"/>
                      <w:vertAlign w:val="superscript"/>
                      <w:lang w:bidi="ar"/>
                      <w14:textFill>
                        <w14:solidFill>
                          <w14:schemeClr w14:val="tx1"/>
                        </w14:solidFill>
                      </w14:textFill>
                    </w:rPr>
                    <w:t>11</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个/a</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1×10</w:t>
                  </w:r>
                  <w:r>
                    <w:rPr>
                      <w:rFonts w:hint="default" w:ascii="Times New Roman" w:hAnsi="Times New Roman" w:eastAsia="宋体" w:cs="Times New Roman"/>
                      <w:color w:val="000000" w:themeColor="text1"/>
                      <w:kern w:val="0"/>
                      <w:sz w:val="21"/>
                      <w:szCs w:val="21"/>
                      <w:highlight w:val="none"/>
                      <w:vertAlign w:val="superscript"/>
                      <w:lang w:bidi="ar"/>
                      <w14:textFill>
                        <w14:solidFill>
                          <w14:schemeClr w14:val="tx1"/>
                        </w14:solidFill>
                      </w14:textFill>
                    </w:rPr>
                    <w:t>11</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个/a</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17</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Clone M-3小鼠黑素瘤细胞</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1×10</w:t>
                  </w:r>
                  <w:r>
                    <w:rPr>
                      <w:rFonts w:hint="default" w:ascii="Times New Roman" w:hAnsi="Times New Roman" w:eastAsia="宋体" w:cs="Times New Roman"/>
                      <w:color w:val="000000" w:themeColor="text1"/>
                      <w:kern w:val="0"/>
                      <w:sz w:val="21"/>
                      <w:szCs w:val="21"/>
                      <w:highlight w:val="none"/>
                      <w:vertAlign w:val="superscript"/>
                      <w:lang w:bidi="ar"/>
                      <w14:textFill>
                        <w14:solidFill>
                          <w14:schemeClr w14:val="tx1"/>
                        </w14:solidFill>
                      </w14:textFill>
                    </w:rPr>
                    <w:t>11</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个/a</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1×10</w:t>
                  </w:r>
                  <w:r>
                    <w:rPr>
                      <w:rFonts w:hint="default" w:ascii="Times New Roman" w:hAnsi="Times New Roman" w:eastAsia="宋体" w:cs="Times New Roman"/>
                      <w:color w:val="000000" w:themeColor="text1"/>
                      <w:kern w:val="0"/>
                      <w:sz w:val="21"/>
                      <w:szCs w:val="21"/>
                      <w:highlight w:val="none"/>
                      <w:vertAlign w:val="superscript"/>
                      <w:lang w:bidi="ar"/>
                      <w14:textFill>
                        <w14:solidFill>
                          <w14:schemeClr w14:val="tx1"/>
                        </w14:solidFill>
                      </w14:textFill>
                    </w:rPr>
                    <w:t>11</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个/a</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18</w:t>
                  </w:r>
                </w:p>
              </w:tc>
              <w:tc>
                <w:tcPr>
                  <w:tcW w:w="783"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WEHI-3小鼠血细胞</w:t>
                  </w:r>
                </w:p>
              </w:tc>
              <w:tc>
                <w:tcPr>
                  <w:tcW w:w="1270"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1×10</w:t>
                  </w:r>
                  <w:r>
                    <w:rPr>
                      <w:rFonts w:hint="default" w:ascii="Times New Roman" w:hAnsi="Times New Roman" w:eastAsia="宋体" w:cs="Times New Roman"/>
                      <w:color w:val="000000" w:themeColor="text1"/>
                      <w:kern w:val="0"/>
                      <w:sz w:val="21"/>
                      <w:szCs w:val="21"/>
                      <w:highlight w:val="none"/>
                      <w:vertAlign w:val="superscript"/>
                      <w:lang w:bidi="ar"/>
                      <w14:textFill>
                        <w14:solidFill>
                          <w14:schemeClr w14:val="tx1"/>
                        </w14:solidFill>
                      </w14:textFill>
                    </w:rPr>
                    <w:t>11</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个/a</w:t>
                  </w:r>
                </w:p>
              </w:tc>
              <w:tc>
                <w:tcPr>
                  <w:tcW w:w="1900" w:type="dxa"/>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1×10</w:t>
                  </w:r>
                  <w:r>
                    <w:rPr>
                      <w:rFonts w:hint="default" w:ascii="Times New Roman" w:hAnsi="Times New Roman" w:eastAsia="宋体" w:cs="Times New Roman"/>
                      <w:color w:val="000000" w:themeColor="text1"/>
                      <w:kern w:val="0"/>
                      <w:sz w:val="21"/>
                      <w:szCs w:val="21"/>
                      <w:highlight w:val="none"/>
                      <w:vertAlign w:val="superscript"/>
                      <w:lang w:bidi="ar"/>
                      <w14:textFill>
                        <w14:solidFill>
                          <w14:schemeClr w14:val="tx1"/>
                        </w14:solidFill>
                      </w14:textFill>
                    </w:rPr>
                    <w:t>11</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个/a</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实验动物饲养情况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w:t>
                  </w:r>
                </w:p>
              </w:tc>
              <w:tc>
                <w:tcPr>
                  <w:tcW w:w="783" w:type="pct"/>
                  <w:vAlign w:val="center"/>
                </w:tcPr>
                <w:p>
                  <w:pPr>
                    <w:adjustRightInd w:val="0"/>
                    <w:snapToGrid w:val="0"/>
                    <w:spacing w:line="240" w:lineRule="atLeast"/>
                    <w:jc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犬</w:t>
                  </w:r>
                </w:p>
              </w:tc>
              <w:tc>
                <w:tcPr>
                  <w:tcW w:w="1270" w:type="pct"/>
                  <w:vAlign w:val="center"/>
                </w:tcPr>
                <w:p>
                  <w:pPr>
                    <w:adjustRightInd w:val="0"/>
                    <w:snapToGrid w:val="0"/>
                    <w:spacing w:line="240" w:lineRule="atLeast"/>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304</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只</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c>
                <w:tcPr>
                  <w:tcW w:w="1900" w:type="dxa"/>
                  <w:vAlign w:val="center"/>
                </w:tcPr>
                <w:p>
                  <w:pPr>
                    <w:adjustRightInd w:val="0"/>
                    <w:snapToGrid w:val="0"/>
                    <w:spacing w:line="240" w:lineRule="atLeas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304</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只</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2</w:t>
                  </w:r>
                </w:p>
              </w:tc>
              <w:tc>
                <w:tcPr>
                  <w:tcW w:w="783" w:type="pct"/>
                  <w:vAlign w:val="center"/>
                </w:tcPr>
                <w:p>
                  <w:pPr>
                    <w:adjustRightInd w:val="0"/>
                    <w:snapToGrid w:val="0"/>
                    <w:spacing w:line="240" w:lineRule="atLeast"/>
                    <w:jc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兔子</w:t>
                  </w:r>
                </w:p>
              </w:tc>
              <w:tc>
                <w:tcPr>
                  <w:tcW w:w="1270" w:type="pct"/>
                  <w:vAlign w:val="center"/>
                </w:tcPr>
                <w:p>
                  <w:pPr>
                    <w:adjustRightInd w:val="0"/>
                    <w:snapToGrid w:val="0"/>
                    <w:spacing w:line="240" w:lineRule="atLeast"/>
                    <w:jc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900</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只</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c>
                <w:tcPr>
                  <w:tcW w:w="1900" w:type="dxa"/>
                  <w:vAlign w:val="center"/>
                </w:tcPr>
                <w:p>
                  <w:pPr>
                    <w:adjustRightInd w:val="0"/>
                    <w:snapToGrid w:val="0"/>
                    <w:spacing w:line="240" w:lineRule="atLeas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900</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只</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3</w:t>
                  </w:r>
                </w:p>
              </w:tc>
              <w:tc>
                <w:tcPr>
                  <w:tcW w:w="783" w:type="pct"/>
                  <w:vAlign w:val="center"/>
                </w:tcPr>
                <w:p>
                  <w:pPr>
                    <w:adjustRightInd w:val="0"/>
                    <w:snapToGrid w:val="0"/>
                    <w:spacing w:line="240" w:lineRule="atLeast"/>
                    <w:jc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豚鼠</w:t>
                  </w:r>
                </w:p>
              </w:tc>
              <w:tc>
                <w:tcPr>
                  <w:tcW w:w="1270" w:type="pct"/>
                  <w:vAlign w:val="center"/>
                </w:tcPr>
                <w:p>
                  <w:pPr>
                    <w:adjustRightInd w:val="0"/>
                    <w:snapToGrid w:val="0"/>
                    <w:spacing w:line="240" w:lineRule="atLeast"/>
                    <w:jc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1890</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只</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c>
                <w:tcPr>
                  <w:tcW w:w="1900" w:type="dxa"/>
                  <w:vAlign w:val="center"/>
                </w:tcPr>
                <w:p>
                  <w:pPr>
                    <w:adjustRightInd w:val="0"/>
                    <w:snapToGrid w:val="0"/>
                    <w:spacing w:line="240" w:lineRule="atLeas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1890</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只</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4</w:t>
                  </w:r>
                </w:p>
              </w:tc>
              <w:tc>
                <w:tcPr>
                  <w:tcW w:w="783" w:type="pct"/>
                  <w:vAlign w:val="center"/>
                </w:tcPr>
                <w:p>
                  <w:pPr>
                    <w:adjustRightInd w:val="0"/>
                    <w:snapToGrid w:val="0"/>
                    <w:spacing w:line="240" w:lineRule="atLeast"/>
                    <w:jc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大鼠</w:t>
                  </w:r>
                </w:p>
              </w:tc>
              <w:tc>
                <w:tcPr>
                  <w:tcW w:w="1270" w:type="pct"/>
                  <w:vAlign w:val="center"/>
                </w:tcPr>
                <w:p>
                  <w:pPr>
                    <w:adjustRightInd w:val="0"/>
                    <w:snapToGrid w:val="0"/>
                    <w:spacing w:line="240" w:lineRule="atLeast"/>
                    <w:jc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72000</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只</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c>
                <w:tcPr>
                  <w:tcW w:w="1900" w:type="dxa"/>
                  <w:vAlign w:val="center"/>
                </w:tcPr>
                <w:p>
                  <w:pPr>
                    <w:adjustRightInd w:val="0"/>
                    <w:snapToGrid w:val="0"/>
                    <w:spacing w:line="240" w:lineRule="atLeas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72000</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只</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5</w:t>
                  </w:r>
                </w:p>
              </w:tc>
              <w:tc>
                <w:tcPr>
                  <w:tcW w:w="783" w:type="pct"/>
                  <w:vAlign w:val="center"/>
                </w:tcPr>
                <w:p>
                  <w:pPr>
                    <w:adjustRightInd w:val="0"/>
                    <w:snapToGrid w:val="0"/>
                    <w:spacing w:line="240" w:lineRule="atLeast"/>
                    <w:jc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小鼠</w:t>
                  </w:r>
                </w:p>
              </w:tc>
              <w:tc>
                <w:tcPr>
                  <w:tcW w:w="1270" w:type="pct"/>
                  <w:vAlign w:val="center"/>
                </w:tcPr>
                <w:p>
                  <w:pPr>
                    <w:adjustRightInd w:val="0"/>
                    <w:snapToGrid w:val="0"/>
                    <w:spacing w:line="240" w:lineRule="atLeast"/>
                    <w:jc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72000</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只</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c>
                <w:tcPr>
                  <w:tcW w:w="1900" w:type="dxa"/>
                  <w:vAlign w:val="center"/>
                </w:tcPr>
                <w:p>
                  <w:pPr>
                    <w:adjustRightInd w:val="0"/>
                    <w:snapToGrid w:val="0"/>
                    <w:spacing w:line="240" w:lineRule="atLeas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72000</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只</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c>
                <w:tcPr>
                  <w:tcW w:w="117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bl>
          <w:p>
            <w:pPr>
              <w:spacing w:line="360" w:lineRule="auto"/>
              <w:jc w:val="left"/>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2.</w:t>
            </w:r>
            <w:r>
              <w:rPr>
                <w:b/>
                <w:bCs/>
                <w:color w:val="000000" w:themeColor="text1"/>
                <w:sz w:val="24"/>
                <w:szCs w:val="24"/>
                <w14:textFill>
                  <w14:solidFill>
                    <w14:schemeClr w14:val="tx1"/>
                  </w14:solidFill>
                </w14:textFill>
              </w:rPr>
              <w:t>5</w:t>
            </w:r>
            <w:r>
              <w:rPr>
                <w:rFonts w:hint="eastAsia"/>
                <w:b/>
                <w:bCs/>
                <w:color w:val="000000" w:themeColor="text1"/>
                <w:sz w:val="24"/>
                <w:szCs w:val="24"/>
                <w14:textFill>
                  <w14:solidFill>
                    <w14:schemeClr w14:val="tx1"/>
                  </w14:solidFill>
                </w14:textFill>
              </w:rPr>
              <w:t>项目公用工程</w:t>
            </w:r>
          </w:p>
          <w:p>
            <w:pPr>
              <w:adjustRightInd w:val="0"/>
              <w:snapToGrid/>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1、供电</w:t>
            </w:r>
          </w:p>
          <w:p>
            <w:pPr>
              <w:adjustRightInd w:val="0"/>
              <w:snapToGrid/>
              <w:spacing w:line="360" w:lineRule="auto"/>
              <w:ind w:firstLine="480" w:firstLineChars="200"/>
              <w:rPr>
                <w:rFonts w:hint="eastAsia" w:eastAsia="宋体"/>
                <w:color w:val="000000" w:themeColor="text1"/>
                <w:sz w:val="24"/>
                <w:szCs w:val="24"/>
                <w:lang w:val="en-US" w:eastAsia="zh-CN"/>
                <w14:textFill>
                  <w14:solidFill>
                    <w14:schemeClr w14:val="tx1"/>
                  </w14:solidFill>
                </w14:textFill>
              </w:rPr>
            </w:pPr>
            <w:r>
              <w:rPr>
                <w:color w:val="000000" w:themeColor="text1"/>
                <w:sz w:val="24"/>
                <w:szCs w:val="24"/>
                <w14:textFill>
                  <w14:solidFill>
                    <w14:schemeClr w14:val="tx1"/>
                  </w14:solidFill>
                </w14:textFill>
              </w:rPr>
              <w:t>本项目用电</w:t>
            </w:r>
            <w:r>
              <w:rPr>
                <w:rFonts w:hint="eastAsia"/>
                <w:color w:val="000000" w:themeColor="text1"/>
                <w:sz w:val="24"/>
                <w:szCs w:val="24"/>
                <w14:textFill>
                  <w14:solidFill>
                    <w14:schemeClr w14:val="tx1"/>
                  </w14:solidFill>
                </w14:textFill>
              </w:rPr>
              <w:t>由市政电网供给</w:t>
            </w:r>
            <w:r>
              <w:rPr>
                <w:rFonts w:hint="eastAsia"/>
                <w:color w:val="000000" w:themeColor="text1"/>
                <w:sz w:val="24"/>
                <w:szCs w:val="24"/>
                <w:highlight w:val="none"/>
                <w:lang w:val="en-US" w:eastAsia="zh-CN"/>
                <w14:textFill>
                  <w14:solidFill>
                    <w14:schemeClr w14:val="tx1"/>
                  </w14:solidFill>
                </w14:textFill>
              </w:rPr>
              <w:t>。</w:t>
            </w:r>
          </w:p>
          <w:p>
            <w:pPr>
              <w:adjustRightInd w:val="0"/>
              <w:snapToGrid/>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2、给排水</w:t>
            </w:r>
          </w:p>
          <w:p>
            <w:pPr>
              <w:adjustRightInd w:val="0"/>
              <w:snapToGrid/>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给水：项目由园区市政管网供给，本项目用水包括</w:t>
            </w:r>
            <w:r>
              <w:rPr>
                <w:rFonts w:hint="eastAsia" w:cs="Times New Roman"/>
                <w:color w:val="000000" w:themeColor="text1"/>
                <w:sz w:val="24"/>
                <w:szCs w:val="24"/>
                <w:highlight w:val="none"/>
                <w:lang w:eastAsia="zh-CN"/>
                <w14:textFill>
                  <w14:solidFill>
                    <w14:schemeClr w14:val="tx1"/>
                  </w14:solidFill>
                </w14:textFill>
              </w:rPr>
              <w:t>地面拖洗用水、清洗用水（实验服、试验器皿、笼具）、试剂调配用水、纯水制备用水</w:t>
            </w:r>
            <w:r>
              <w:rPr>
                <w:rFonts w:hint="default" w:ascii="Times New Roman" w:hAnsi="Times New Roman" w:eastAsia="宋体" w:cs="Times New Roman"/>
                <w:color w:val="000000" w:themeColor="text1"/>
                <w:sz w:val="24"/>
                <w:szCs w:val="24"/>
                <w:highlight w:val="none"/>
                <w14:textFill>
                  <w14:solidFill>
                    <w14:schemeClr w14:val="tx1"/>
                  </w14:solidFill>
                </w14:textFill>
              </w:rPr>
              <w:t>以及员工生活用水。</w:t>
            </w:r>
          </w:p>
          <w:p>
            <w:pPr>
              <w:spacing w:line="360" w:lineRule="auto"/>
              <w:ind w:firstLine="480" w:firstLine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w:t>
            </w:r>
            <w:r>
              <w:rPr>
                <w:rFonts w:hint="eastAsia" w:cs="Times New Roman"/>
                <w:color w:val="000000" w:themeColor="text1"/>
                <w:sz w:val="24"/>
                <w:szCs w:val="24"/>
                <w:highlight w:val="none"/>
                <w:lang w:eastAsia="zh-CN"/>
                <w14:textFill>
                  <w14:solidFill>
                    <w14:schemeClr w14:val="tx1"/>
                  </w14:solidFill>
                </w14:textFill>
              </w:rPr>
              <w:t>地面拖洗用水</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用水量为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w:t>
            </w:r>
            <w:r>
              <w:rPr>
                <w:rFonts w:hint="eastAsia" w:cs="Times New Roman"/>
                <w:color w:val="000000" w:themeColor="text1"/>
                <w:sz w:val="24"/>
                <w:szCs w:val="24"/>
                <w:highlight w:val="none"/>
                <w:lang w:val="en-US" w:eastAsia="zh-CN"/>
                <w14:textFill>
                  <w14:solidFill>
                    <w14:schemeClr w14:val="tx1"/>
                  </w14:solidFill>
                </w14:textFill>
              </w:rPr>
              <w:t>0065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/d（</w:t>
            </w:r>
            <w:r>
              <w:rPr>
                <w:rFonts w:hint="eastAsia" w:cs="Times New Roman"/>
                <w:color w:val="000000" w:themeColor="text1"/>
                <w:sz w:val="24"/>
                <w:szCs w:val="24"/>
                <w:highlight w:val="none"/>
                <w:vertAlign w:val="baseline"/>
                <w:lang w:val="en-US" w:eastAsia="zh-CN"/>
                <w14:textFill>
                  <w14:solidFill>
                    <w14:schemeClr w14:val="tx1"/>
                  </w14:solidFill>
                </w14:textFill>
              </w:rPr>
              <w:t>1.95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/a），</w:t>
            </w:r>
            <w:r>
              <w:rPr>
                <w:rFonts w:hint="eastAsia" w:cs="Times New Roman"/>
                <w:color w:val="000000" w:themeColor="text1"/>
                <w:sz w:val="24"/>
                <w:szCs w:val="24"/>
                <w:highlight w:val="none"/>
                <w:vertAlign w:val="baseline"/>
                <w:lang w:val="en-US" w:eastAsia="zh-CN"/>
                <w14:textFill>
                  <w14:solidFill>
                    <w14:schemeClr w14:val="tx1"/>
                  </w14:solidFill>
                </w14:textFill>
              </w:rPr>
              <w:t>损耗水量为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w:t>
            </w:r>
            <w:r>
              <w:rPr>
                <w:rFonts w:hint="eastAsia" w:cs="Times New Roman"/>
                <w:color w:val="000000" w:themeColor="text1"/>
                <w:sz w:val="24"/>
                <w:szCs w:val="24"/>
                <w:highlight w:val="none"/>
                <w:lang w:val="en-US" w:eastAsia="zh-CN"/>
                <w14:textFill>
                  <w14:solidFill>
                    <w14:schemeClr w14:val="tx1"/>
                  </w14:solidFill>
                </w14:textFill>
              </w:rPr>
              <w:t>0013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/d（</w:t>
            </w:r>
            <w:r>
              <w:rPr>
                <w:rFonts w:hint="eastAsia" w:cs="Times New Roman"/>
                <w:color w:val="000000" w:themeColor="text1"/>
                <w:sz w:val="24"/>
                <w:szCs w:val="24"/>
                <w:highlight w:val="none"/>
                <w:vertAlign w:val="baseline"/>
                <w:lang w:val="en-US" w:eastAsia="zh-CN"/>
                <w14:textFill>
                  <w14:solidFill>
                    <w14:schemeClr w14:val="tx1"/>
                  </w14:solidFill>
                </w14:textFill>
              </w:rPr>
              <w:t>0.39</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/a）</w:t>
            </w:r>
            <w:r>
              <w:rPr>
                <w:rFonts w:hint="eastAsia" w:ascii="Times New Roman" w:hAnsi="Times New Roman" w:cs="Times New Roman"/>
                <w:color w:val="000000" w:themeColor="text1"/>
                <w:sz w:val="24"/>
                <w:szCs w:val="24"/>
                <w:highlight w:val="none"/>
                <w:vertAlign w:val="baseline"/>
                <w:lang w:val="en-US" w:eastAsia="zh-CN"/>
                <w14:textFill>
                  <w14:solidFill>
                    <w14:schemeClr w14:val="tx1"/>
                  </w14:solidFill>
                </w14:textFill>
              </w:rPr>
              <w:t>，废</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水量为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w:t>
            </w:r>
            <w:r>
              <w:rPr>
                <w:rFonts w:hint="eastAsia" w:cs="Times New Roman"/>
                <w:color w:val="000000" w:themeColor="text1"/>
                <w:sz w:val="24"/>
                <w:szCs w:val="24"/>
                <w:highlight w:val="none"/>
                <w:lang w:val="en-US" w:eastAsia="zh-CN"/>
                <w14:textFill>
                  <w14:solidFill>
                    <w14:schemeClr w14:val="tx1"/>
                  </w14:solidFill>
                </w14:textFill>
              </w:rPr>
              <w:t>0052</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/d（</w:t>
            </w:r>
            <w:r>
              <w:rPr>
                <w:rFonts w:hint="eastAsia" w:cs="Times New Roman"/>
                <w:color w:val="000000" w:themeColor="text1"/>
                <w:sz w:val="24"/>
                <w:szCs w:val="24"/>
                <w:highlight w:val="none"/>
                <w:lang w:val="en-US" w:eastAsia="zh-CN"/>
                <w14:textFill>
                  <w14:solidFill>
                    <w14:schemeClr w14:val="tx1"/>
                  </w14:solidFill>
                </w14:textFill>
              </w:rPr>
              <w:t>1.56</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/a）。</w:t>
            </w:r>
          </w:p>
          <w:p>
            <w:pPr>
              <w:spacing w:line="360" w:lineRule="auto"/>
              <w:ind w:firstLine="480" w:firstLine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w:t>
            </w:r>
            <w:r>
              <w:rPr>
                <w:rFonts w:hint="eastAsia" w:cs="Times New Roman"/>
                <w:color w:val="000000" w:themeColor="text1"/>
                <w:sz w:val="24"/>
                <w:szCs w:val="24"/>
                <w:highlight w:val="none"/>
                <w:lang w:eastAsia="zh-CN"/>
                <w14:textFill>
                  <w14:solidFill>
                    <w14:schemeClr w14:val="tx1"/>
                  </w14:solidFill>
                </w14:textFill>
              </w:rPr>
              <w:t>清洗用水（实验服、试验器皿、笼具）：</w:t>
            </w:r>
            <w:r>
              <w:rPr>
                <w:rFonts w:hint="eastAsia" w:ascii="Times New Roman" w:hAnsi="Times New Roman" w:cs="Times New Roman"/>
                <w:color w:val="000000" w:themeColor="text1"/>
                <w:sz w:val="24"/>
                <w:szCs w:val="24"/>
                <w:highlight w:val="none"/>
                <w:lang w:eastAsia="zh-CN"/>
                <w14:textFill>
                  <w14:solidFill>
                    <w14:schemeClr w14:val="tx1"/>
                  </w14:solidFill>
                </w14:textFill>
              </w:rPr>
              <w:t>实验服清洗用水量为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w:t>
            </w:r>
            <w:r>
              <w:rPr>
                <w:rFonts w:hint="eastAsia"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/d（</w:t>
            </w:r>
            <w:r>
              <w:rPr>
                <w:rFonts w:hint="eastAsia" w:cs="Times New Roman"/>
                <w:color w:val="000000" w:themeColor="text1"/>
                <w:sz w:val="24"/>
                <w:szCs w:val="24"/>
                <w:highlight w:val="none"/>
                <w:vertAlign w:val="baseline"/>
                <w:lang w:val="en-US" w:eastAsia="zh-CN"/>
                <w14:textFill>
                  <w14:solidFill>
                    <w14:schemeClr w14:val="tx1"/>
                  </w14:solidFill>
                </w14:textFill>
              </w:rPr>
              <w:t>180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/a），</w:t>
            </w:r>
            <w:r>
              <w:rPr>
                <w:rFonts w:hint="eastAsia" w:cs="Times New Roman"/>
                <w:color w:val="000000" w:themeColor="text1"/>
                <w:sz w:val="24"/>
                <w:szCs w:val="24"/>
                <w:highlight w:val="none"/>
                <w:vertAlign w:val="baseline"/>
                <w:lang w:val="en-US" w:eastAsia="zh-CN"/>
                <w14:textFill>
                  <w14:solidFill>
                    <w14:schemeClr w14:val="tx1"/>
                  </w14:solidFill>
                </w14:textFill>
              </w:rPr>
              <w:t>损耗水量为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w:t>
            </w:r>
            <w:r>
              <w:rPr>
                <w:rFonts w:hint="eastAsia" w:cs="Times New Roman"/>
                <w:color w:val="000000" w:themeColor="text1"/>
                <w:sz w:val="24"/>
                <w:szCs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/d（</w:t>
            </w:r>
            <w:r>
              <w:rPr>
                <w:rFonts w:hint="eastAsia" w:cs="Times New Roman"/>
                <w:color w:val="000000" w:themeColor="text1"/>
                <w:sz w:val="24"/>
                <w:szCs w:val="24"/>
                <w:highlight w:val="none"/>
                <w:vertAlign w:val="baseline"/>
                <w:lang w:val="en-US" w:eastAsia="zh-CN"/>
                <w14:textFill>
                  <w14:solidFill>
                    <w14:schemeClr w14:val="tx1"/>
                  </w14:solidFill>
                </w14:textFill>
              </w:rPr>
              <w:t>36</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/a）</w:t>
            </w:r>
            <w:r>
              <w:rPr>
                <w:rFonts w:hint="eastAsia" w:ascii="Times New Roman" w:hAnsi="Times New Roman" w:cs="Times New Roman"/>
                <w:color w:val="000000" w:themeColor="text1"/>
                <w:sz w:val="24"/>
                <w:szCs w:val="24"/>
                <w:highlight w:val="none"/>
                <w:vertAlign w:val="baseline"/>
                <w:lang w:val="en-US" w:eastAsia="zh-CN"/>
                <w14:textFill>
                  <w14:solidFill>
                    <w14:schemeClr w14:val="tx1"/>
                  </w14:solidFill>
                </w14:textFill>
              </w:rPr>
              <w:t>，废</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水量为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w:t>
            </w:r>
            <w:r>
              <w:rPr>
                <w:rFonts w:hint="eastAsia" w:cs="Times New Roman"/>
                <w:color w:val="000000" w:themeColor="text1"/>
                <w:sz w:val="24"/>
                <w:szCs w:val="24"/>
                <w:highlight w:val="none"/>
                <w:lang w:val="en-US" w:eastAsia="zh-CN"/>
                <w14:textFill>
                  <w14:solidFill>
                    <w14:schemeClr w14:val="tx1"/>
                  </w14:solidFill>
                </w14:textFill>
              </w:rPr>
              <w:t>48</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/d（</w:t>
            </w:r>
            <w:r>
              <w:rPr>
                <w:rFonts w:hint="eastAsia" w:cs="Times New Roman"/>
                <w:color w:val="000000" w:themeColor="text1"/>
                <w:sz w:val="24"/>
                <w:szCs w:val="24"/>
                <w:highlight w:val="none"/>
                <w:lang w:val="en-US" w:eastAsia="zh-CN"/>
                <w14:textFill>
                  <w14:solidFill>
                    <w14:schemeClr w14:val="tx1"/>
                  </w14:solidFill>
                </w14:textFill>
              </w:rPr>
              <w:t>144</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/a）。</w:t>
            </w:r>
            <w:r>
              <w:rPr>
                <w:rFonts w:hint="eastAsia" w:cs="Times New Roman"/>
                <w:color w:val="000000" w:themeColor="text1"/>
                <w:sz w:val="24"/>
                <w:szCs w:val="24"/>
                <w:highlight w:val="none"/>
                <w:lang w:eastAsia="zh-CN"/>
                <w14:textFill>
                  <w14:solidFill>
                    <w14:schemeClr w14:val="tx1"/>
                  </w14:solidFill>
                </w14:textFill>
              </w:rPr>
              <w:t>试验器皿清洗用水量为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/d（</w:t>
            </w:r>
            <w:r>
              <w:rPr>
                <w:rFonts w:hint="eastAsia" w:cs="Times New Roman"/>
                <w:color w:val="000000" w:themeColor="text1"/>
                <w:sz w:val="24"/>
                <w:szCs w:val="24"/>
                <w:highlight w:val="none"/>
                <w:vertAlign w:val="baseline"/>
                <w:lang w:val="en-US" w:eastAsia="zh-CN"/>
                <w14:textFill>
                  <w14:solidFill>
                    <w14:schemeClr w14:val="tx1"/>
                  </w14:solidFill>
                </w14:textFill>
              </w:rPr>
              <w:t>300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/a），</w:t>
            </w:r>
            <w:r>
              <w:rPr>
                <w:rFonts w:hint="eastAsia" w:cs="Times New Roman"/>
                <w:color w:val="000000" w:themeColor="text1"/>
                <w:sz w:val="24"/>
                <w:szCs w:val="24"/>
                <w:highlight w:val="none"/>
                <w:vertAlign w:val="baseline"/>
                <w:lang w:val="en-US" w:eastAsia="zh-CN"/>
                <w14:textFill>
                  <w14:solidFill>
                    <w14:schemeClr w14:val="tx1"/>
                  </w14:solidFill>
                </w14:textFill>
              </w:rPr>
              <w:t>损耗水量为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0.2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/d（</w:t>
            </w:r>
            <w:r>
              <w:rPr>
                <w:rFonts w:hint="eastAsia" w:cs="Times New Roman"/>
                <w:color w:val="000000" w:themeColor="text1"/>
                <w:sz w:val="24"/>
                <w:szCs w:val="24"/>
                <w:highlight w:val="none"/>
                <w:vertAlign w:val="baseline"/>
                <w:lang w:val="en-US" w:eastAsia="zh-CN"/>
                <w14:textFill>
                  <w14:solidFill>
                    <w14:schemeClr w14:val="tx1"/>
                  </w14:solidFill>
                </w14:textFill>
              </w:rPr>
              <w:t>60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/a）</w:t>
            </w:r>
            <w:r>
              <w:rPr>
                <w:rFonts w:hint="eastAsia" w:ascii="Times New Roman" w:hAnsi="Times New Roman" w:cs="Times New Roman"/>
                <w:color w:val="000000" w:themeColor="text1"/>
                <w:sz w:val="24"/>
                <w:szCs w:val="24"/>
                <w:highlight w:val="none"/>
                <w:vertAlign w:val="baseline"/>
                <w:lang w:val="en-US" w:eastAsia="zh-CN"/>
                <w14:textFill>
                  <w14:solidFill>
                    <w14:schemeClr w14:val="tx1"/>
                  </w14:solidFill>
                </w14:textFill>
              </w:rPr>
              <w:t>，废</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水量为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w:t>
            </w:r>
            <w:r>
              <w:rPr>
                <w:rFonts w:hint="eastAsia"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/d（</w:t>
            </w:r>
            <w:r>
              <w:rPr>
                <w:rFonts w:hint="eastAsia" w:cs="Times New Roman"/>
                <w:color w:val="000000" w:themeColor="text1"/>
                <w:sz w:val="24"/>
                <w:szCs w:val="24"/>
                <w:highlight w:val="none"/>
                <w:lang w:val="en-US" w:eastAsia="zh-CN"/>
                <w14:textFill>
                  <w14:solidFill>
                    <w14:schemeClr w14:val="tx1"/>
                  </w14:solidFill>
                </w14:textFill>
              </w:rPr>
              <w:t>240</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/a）。</w:t>
            </w:r>
            <w:r>
              <w:rPr>
                <w:rFonts w:hint="eastAsia" w:cs="Times New Roman"/>
                <w:color w:val="000000" w:themeColor="text1"/>
                <w:sz w:val="24"/>
                <w:szCs w:val="24"/>
                <w:highlight w:val="none"/>
                <w:lang w:eastAsia="zh-CN"/>
                <w14:textFill>
                  <w14:solidFill>
                    <w14:schemeClr w14:val="tx1"/>
                  </w14:solidFill>
                </w14:textFill>
              </w:rPr>
              <w:t>笼具清洗用水量为</w:t>
            </w:r>
            <w:r>
              <w:rPr>
                <w:rFonts w:hint="eastAsia" w:cs="Times New Roman"/>
                <w:color w:val="000000" w:themeColor="text1"/>
                <w:sz w:val="24"/>
                <w:szCs w:val="24"/>
                <w:highlight w:val="none"/>
                <w:lang w:val="en-US" w:eastAsia="zh-CN"/>
                <w14:textFill>
                  <w14:solidFill>
                    <w14:schemeClr w14:val="tx1"/>
                  </w14:solidFill>
                </w14:textFill>
              </w:rPr>
              <w:t>0.2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/d（</w:t>
            </w:r>
            <w:r>
              <w:rPr>
                <w:rFonts w:hint="eastAsia" w:cs="Times New Roman"/>
                <w:color w:val="000000" w:themeColor="text1"/>
                <w:sz w:val="24"/>
                <w:szCs w:val="24"/>
                <w:highlight w:val="none"/>
                <w:vertAlign w:val="baseline"/>
                <w:lang w:val="en-US" w:eastAsia="zh-CN"/>
                <w14:textFill>
                  <w14:solidFill>
                    <w14:schemeClr w14:val="tx1"/>
                  </w14:solidFill>
                </w14:textFill>
              </w:rPr>
              <w:t>60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/a），</w:t>
            </w:r>
            <w:r>
              <w:rPr>
                <w:rFonts w:hint="eastAsia" w:cs="Times New Roman"/>
                <w:color w:val="000000" w:themeColor="text1"/>
                <w:sz w:val="24"/>
                <w:szCs w:val="24"/>
                <w:highlight w:val="none"/>
                <w:vertAlign w:val="baseline"/>
                <w:lang w:val="en-US" w:eastAsia="zh-CN"/>
                <w14:textFill>
                  <w14:solidFill>
                    <w14:schemeClr w14:val="tx1"/>
                  </w14:solidFill>
                </w14:textFill>
              </w:rPr>
              <w:t>损耗水量为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0.04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/d（</w:t>
            </w:r>
            <w:r>
              <w:rPr>
                <w:rFonts w:hint="eastAsia" w:cs="Times New Roman"/>
                <w:color w:val="000000" w:themeColor="text1"/>
                <w:sz w:val="24"/>
                <w:szCs w:val="24"/>
                <w:highlight w:val="none"/>
                <w:vertAlign w:val="baseline"/>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/a）</w:t>
            </w:r>
            <w:r>
              <w:rPr>
                <w:rFonts w:hint="eastAsia" w:ascii="Times New Roman" w:hAnsi="Times New Roman" w:cs="Times New Roman"/>
                <w:color w:val="000000" w:themeColor="text1"/>
                <w:sz w:val="24"/>
                <w:szCs w:val="24"/>
                <w:highlight w:val="none"/>
                <w:vertAlign w:val="baseline"/>
                <w:lang w:val="en-US" w:eastAsia="zh-CN"/>
                <w14:textFill>
                  <w14:solidFill>
                    <w14:schemeClr w14:val="tx1"/>
                  </w14:solidFill>
                </w14:textFill>
              </w:rPr>
              <w:t>，废</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水量为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16</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/d（</w:t>
            </w:r>
            <w:r>
              <w:rPr>
                <w:rFonts w:hint="eastAsia" w:cs="Times New Roman"/>
                <w:color w:val="000000" w:themeColor="text1"/>
                <w:sz w:val="24"/>
                <w:szCs w:val="24"/>
                <w:highlight w:val="none"/>
                <w:lang w:val="en-US" w:eastAsia="zh-CN"/>
                <w14:textFill>
                  <w14:solidFill>
                    <w14:schemeClr w14:val="tx1"/>
                  </w14:solidFill>
                </w14:textFill>
              </w:rPr>
              <w:t>48</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/a）。</w:t>
            </w:r>
          </w:p>
          <w:p>
            <w:pPr>
              <w:numPr>
                <w:ilvl w:val="0"/>
                <w:numId w:val="0"/>
              </w:numPr>
              <w:spacing w:line="360" w:lineRule="auto"/>
              <w:ind w:left="0" w:leftChars="0" w:firstLine="403" w:firstLineChars="0"/>
              <w:rPr>
                <w:rFonts w:hint="default"/>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③</w:t>
            </w:r>
            <w:r>
              <w:rPr>
                <w:rFonts w:hint="eastAsia" w:cs="Times New Roman"/>
                <w:color w:val="000000" w:themeColor="text1"/>
                <w:sz w:val="24"/>
                <w:szCs w:val="24"/>
                <w:highlight w:val="none"/>
                <w:lang w:eastAsia="zh-CN"/>
                <w14:textFill>
                  <w14:solidFill>
                    <w14:schemeClr w14:val="tx1"/>
                  </w14:solidFill>
                </w14:textFill>
              </w:rPr>
              <w:t>试剂调配用水：用水量为</w:t>
            </w:r>
            <w:r>
              <w:rPr>
                <w:rFonts w:hint="eastAsia" w:cs="Times New Roman"/>
                <w:color w:val="000000" w:themeColor="text1"/>
                <w:sz w:val="24"/>
                <w:szCs w:val="24"/>
                <w:highlight w:val="none"/>
                <w:lang w:val="en-US" w:eastAsia="zh-CN"/>
                <w14:textFill>
                  <w14:solidFill>
                    <w14:schemeClr w14:val="tx1"/>
                  </w14:solidFill>
                </w14:textFill>
              </w:rPr>
              <w:t>0.7</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/d（</w:t>
            </w:r>
            <w:r>
              <w:rPr>
                <w:rFonts w:hint="eastAsia" w:cs="Times New Roman"/>
                <w:color w:val="000000" w:themeColor="text1"/>
                <w:sz w:val="24"/>
                <w:szCs w:val="24"/>
                <w:highlight w:val="none"/>
                <w:vertAlign w:val="baseline"/>
                <w:lang w:val="en-US" w:eastAsia="zh-CN"/>
                <w14:textFill>
                  <w14:solidFill>
                    <w14:schemeClr w14:val="tx1"/>
                  </w14:solidFill>
                </w14:textFill>
              </w:rPr>
              <w:t>210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/a）</w:t>
            </w:r>
            <w:r>
              <w:rPr>
                <w:rFonts w:hint="eastAsia" w:ascii="Times New Roman" w:hAnsi="Times New Roman" w:cs="Times New Roman"/>
                <w:color w:val="000000" w:themeColor="text1"/>
                <w:sz w:val="24"/>
                <w:szCs w:val="24"/>
                <w:highlight w:val="none"/>
                <w:vertAlign w:val="baseline"/>
                <w:lang w:val="en-US" w:eastAsia="zh-CN"/>
                <w14:textFill>
                  <w14:solidFill>
                    <w14:schemeClr w14:val="tx1"/>
                  </w14:solidFill>
                </w14:textFill>
              </w:rPr>
              <w:t>，试剂调配水全部进入动物体内不外排</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pPr>
              <w:pStyle w:val="2"/>
              <w:numPr>
                <w:ilvl w:val="0"/>
                <w:numId w:val="0"/>
              </w:numPr>
              <w:spacing w:line="360" w:lineRule="auto"/>
              <w:ind w:left="0" w:leftChars="0" w:firstLine="403" w:firstLineChars="0"/>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④纯水制备用水</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用水量为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/d（</w:t>
            </w:r>
            <w:r>
              <w:rPr>
                <w:rFonts w:hint="eastAsia" w:cs="Times New Roman"/>
                <w:color w:val="000000" w:themeColor="text1"/>
                <w:sz w:val="24"/>
                <w:szCs w:val="24"/>
                <w:highlight w:val="none"/>
                <w:vertAlign w:val="baseline"/>
                <w:lang w:val="en-US" w:eastAsia="zh-CN"/>
                <w14:textFill>
                  <w14:solidFill>
                    <w14:schemeClr w14:val="tx1"/>
                  </w14:solidFill>
                </w14:textFill>
              </w:rPr>
              <w:t>420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/a），</w:t>
            </w:r>
            <w:r>
              <w:rPr>
                <w:rFonts w:hint="eastAsia" w:cs="Times New Roman"/>
                <w:color w:val="000000" w:themeColor="text1"/>
                <w:sz w:val="24"/>
                <w:szCs w:val="24"/>
                <w:highlight w:val="none"/>
                <w:vertAlign w:val="baseline"/>
                <w:lang w:val="en-US" w:eastAsia="zh-CN"/>
                <w14:textFill>
                  <w14:solidFill>
                    <w14:schemeClr w14:val="tx1"/>
                  </w14:solidFill>
                </w14:textFill>
              </w:rPr>
              <w:t>纯水量为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0.7</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/d（</w:t>
            </w:r>
            <w:r>
              <w:rPr>
                <w:rFonts w:hint="eastAsia" w:cs="Times New Roman"/>
                <w:color w:val="000000" w:themeColor="text1"/>
                <w:sz w:val="24"/>
                <w:szCs w:val="24"/>
                <w:highlight w:val="none"/>
                <w:vertAlign w:val="baseline"/>
                <w:lang w:val="en-US" w:eastAsia="zh-CN"/>
                <w14:textFill>
                  <w14:solidFill>
                    <w14:schemeClr w14:val="tx1"/>
                  </w14:solidFill>
                </w14:textFill>
              </w:rPr>
              <w:t>210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/a）</w:t>
            </w:r>
            <w:r>
              <w:rPr>
                <w:rFonts w:hint="eastAsia" w:ascii="Times New Roman" w:hAnsi="Times New Roman" w:cs="Times New Roman"/>
                <w:color w:val="000000" w:themeColor="text1"/>
                <w:sz w:val="24"/>
                <w:szCs w:val="24"/>
                <w:highlight w:val="none"/>
                <w:vertAlign w:val="baseline"/>
                <w:lang w:val="en-US" w:eastAsia="zh-CN"/>
                <w14:textFill>
                  <w14:solidFill>
                    <w14:schemeClr w14:val="tx1"/>
                  </w14:solidFill>
                </w14:textFill>
              </w:rPr>
              <w:t>，除盐浓</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水量为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0.7</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/d（</w:t>
            </w:r>
            <w:r>
              <w:rPr>
                <w:rFonts w:hint="eastAsia" w:cs="Times New Roman"/>
                <w:color w:val="000000" w:themeColor="text1"/>
                <w:sz w:val="24"/>
                <w:szCs w:val="24"/>
                <w:highlight w:val="none"/>
                <w:lang w:val="en-US" w:eastAsia="zh-CN"/>
                <w14:textFill>
                  <w14:solidFill>
                    <w14:schemeClr w14:val="tx1"/>
                  </w14:solidFill>
                </w14:textFill>
              </w:rPr>
              <w:t>210</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/a）。</w:t>
            </w:r>
          </w:p>
          <w:p>
            <w:pPr>
              <w:numPr>
                <w:ilvl w:val="0"/>
                <w:numId w:val="0"/>
              </w:numPr>
              <w:spacing w:line="360" w:lineRule="auto"/>
              <w:ind w:left="0" w:leftChars="0" w:firstLine="403" w:firstLineChars="0"/>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⑤</w:t>
            </w:r>
            <w:r>
              <w:rPr>
                <w:rFonts w:hint="default" w:ascii="Times New Roman" w:hAnsi="Times New Roman" w:eastAsia="宋体" w:cs="Times New Roman"/>
                <w:color w:val="000000" w:themeColor="text1"/>
                <w:sz w:val="24"/>
                <w:szCs w:val="24"/>
                <w:highlight w:val="none"/>
                <w14:textFill>
                  <w14:solidFill>
                    <w14:schemeClr w14:val="tx1"/>
                  </w14:solidFill>
                </w14:textFill>
              </w:rPr>
              <w:t>生活用水：本项目劳动定员</w:t>
            </w:r>
            <w:r>
              <w:rPr>
                <w:rFonts w:hint="eastAsia" w:cs="Times New Roman"/>
                <w:color w:val="000000" w:themeColor="text1"/>
                <w:sz w:val="24"/>
                <w:szCs w:val="24"/>
                <w:highlight w:val="none"/>
                <w:lang w:val="en-US" w:eastAsia="zh-CN"/>
                <w14:textFill>
                  <w14:solidFill>
                    <w14:schemeClr w14:val="tx1"/>
                  </w14:solidFill>
                </w14:textFill>
              </w:rPr>
              <w:t>31</w:t>
            </w:r>
            <w:r>
              <w:rPr>
                <w:rFonts w:hint="default" w:ascii="Times New Roman" w:hAnsi="Times New Roman" w:eastAsia="宋体" w:cs="Times New Roman"/>
                <w:color w:val="000000" w:themeColor="text1"/>
                <w:sz w:val="24"/>
                <w:szCs w:val="24"/>
                <w:highlight w:val="none"/>
                <w14:textFill>
                  <w14:solidFill>
                    <w14:schemeClr w14:val="tx1"/>
                  </w14:solidFill>
                </w14:textFill>
              </w:rPr>
              <w:t>人，均在厂内住宿，</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不在厂内就餐，</w:t>
            </w:r>
            <w:r>
              <w:rPr>
                <w:rFonts w:hint="default" w:ascii="Times New Roman" w:hAnsi="Times New Roman" w:eastAsia="宋体" w:cs="Times New Roman"/>
                <w:color w:val="000000" w:themeColor="text1"/>
                <w:sz w:val="24"/>
                <w:szCs w:val="24"/>
                <w:highlight w:val="none"/>
                <w14:textFill>
                  <w14:solidFill>
                    <w14:schemeClr w14:val="tx1"/>
                  </w14:solidFill>
                </w14:textFill>
              </w:rPr>
              <w:t>员工生活用水定额参考《江西省生活用水定额》（DB36/T419-2017），用水量取</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24"/>
                <w:szCs w:val="24"/>
                <w:highlight w:val="none"/>
                <w14:textFill>
                  <w14:solidFill>
                    <w14:schemeClr w14:val="tx1"/>
                  </w14:solidFill>
                </w14:textFill>
              </w:rPr>
              <w:t>L/人·d，则项目生活用水量为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3.72</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d</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1116</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adjustRightInd w:val="0"/>
              <w:snapToGrid/>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排水：</w:t>
            </w:r>
          </w:p>
          <w:p>
            <w:pPr>
              <w:spacing w:line="360" w:lineRule="auto"/>
              <w:ind w:firstLine="480" w:firstLine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①</w:t>
            </w:r>
            <w:r>
              <w:rPr>
                <w:rFonts w:hint="eastAsia" w:cs="Times New Roman"/>
                <w:color w:val="000000" w:themeColor="text1"/>
                <w:sz w:val="24"/>
                <w:szCs w:val="24"/>
                <w:highlight w:val="none"/>
                <w:lang w:val="en-US" w:eastAsia="zh-CN"/>
                <w14:textFill>
                  <w14:solidFill>
                    <w14:schemeClr w14:val="tx1"/>
                  </w14:solidFill>
                </w14:textFill>
              </w:rPr>
              <w:t>地面拖洗废水和</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清洗废水</w:t>
            </w:r>
          </w:p>
          <w:p>
            <w:pPr>
              <w:spacing w:line="360" w:lineRule="auto"/>
              <w:ind w:firstLine="480" w:firstLine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项目</w:t>
            </w:r>
            <w:r>
              <w:rPr>
                <w:rFonts w:hint="eastAsia" w:cs="Times New Roman"/>
                <w:color w:val="000000" w:themeColor="text1"/>
                <w:sz w:val="24"/>
                <w:szCs w:val="24"/>
                <w:highlight w:val="none"/>
                <w:lang w:eastAsia="zh-CN"/>
                <w14:textFill>
                  <w14:solidFill>
                    <w14:schemeClr w14:val="tx1"/>
                  </w14:solidFill>
                </w14:textFill>
              </w:rPr>
              <w:t>地面拖洗水经化粪池处理后和</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清洗废水经</w:t>
            </w:r>
            <w:r>
              <w:rPr>
                <w:rFonts w:hint="eastAsia" w:cs="Times New Roman"/>
                <w:color w:val="000000" w:themeColor="text1"/>
                <w:sz w:val="24"/>
                <w:szCs w:val="24"/>
                <w:highlight w:val="none"/>
                <w:lang w:eastAsia="zh-CN"/>
                <w14:textFill>
                  <w14:solidFill>
                    <w14:schemeClr w14:val="tx1"/>
                  </w14:solidFill>
                </w14:textFill>
              </w:rPr>
              <w:t>污水调解</w:t>
            </w:r>
            <w:r>
              <w:rPr>
                <w:rFonts w:hint="eastAsia" w:cs="Times New Roman"/>
                <w:color w:val="000000" w:themeColor="text1"/>
                <w:sz w:val="24"/>
                <w:szCs w:val="24"/>
                <w:highlight w:val="none"/>
                <w:lang w:val="en-US" w:eastAsia="zh-CN"/>
                <w14:textFill>
                  <w14:solidFill>
                    <w14:schemeClr w14:val="tx1"/>
                  </w14:solidFill>
                </w14:textFill>
              </w:rPr>
              <w:t>+厌氧生化+兼氧生化+好氧生化+沉淀池+消毒池处理后与地面拖洗废水一起经化粪池处理后排入瑶湖污水处理厂</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pPr>
              <w:adjustRightInd w:val="0"/>
              <w:snapToGrid/>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②生活</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废</w:t>
            </w:r>
            <w:r>
              <w:rPr>
                <w:rFonts w:hint="default" w:ascii="Times New Roman" w:hAnsi="Times New Roman" w:eastAsia="宋体" w:cs="Times New Roman"/>
                <w:color w:val="000000" w:themeColor="text1"/>
                <w:sz w:val="24"/>
                <w:szCs w:val="24"/>
                <w:highlight w:val="none"/>
                <w14:textFill>
                  <w14:solidFill>
                    <w14:schemeClr w14:val="tx1"/>
                  </w14:solidFill>
                </w14:textFill>
              </w:rPr>
              <w:t>水</w:t>
            </w:r>
          </w:p>
          <w:p>
            <w:pPr>
              <w:adjustRightInd w:val="0"/>
              <w:snapToGrid/>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生活废水</w:t>
            </w:r>
            <w:r>
              <w:rPr>
                <w:rFonts w:hint="default" w:ascii="Times New Roman" w:hAnsi="Times New Roman" w:eastAsia="宋体" w:cs="Times New Roman"/>
                <w:color w:val="000000" w:themeColor="text1"/>
                <w:sz w:val="24"/>
                <w:szCs w:val="24"/>
                <w:highlight w:val="none"/>
                <w14:textFill>
                  <w14:solidFill>
                    <w14:schemeClr w14:val="tx1"/>
                  </w14:solidFill>
                </w14:textFill>
              </w:rPr>
              <w:t>排污系数按0.8计，则生活污水产生量为</w:t>
            </w:r>
            <w:r>
              <w:rPr>
                <w:rFonts w:hint="eastAsia" w:cs="Times New Roman"/>
                <w:color w:val="000000" w:themeColor="text1"/>
                <w:sz w:val="24"/>
                <w:szCs w:val="24"/>
                <w:highlight w:val="none"/>
                <w:lang w:val="en-US" w:eastAsia="zh-CN"/>
                <w14:textFill>
                  <w14:solidFill>
                    <w14:schemeClr w14:val="tx1"/>
                  </w14:solidFill>
                </w14:textFill>
              </w:rPr>
              <w:t>2.976</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d</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892.8</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adjustRightInd w:val="0"/>
              <w:snapToGrid/>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eastAsia="zh-CN"/>
                <w14:textFill>
                  <w14:solidFill>
                    <w14:schemeClr w14:val="tx1"/>
                  </w14:solidFill>
                </w14:textFill>
              </w:rPr>
              <w:t>项目</w:t>
            </w:r>
            <w:r>
              <w:rPr>
                <w:rFonts w:hint="eastAsia"/>
                <w:color w:val="000000" w:themeColor="text1"/>
                <w:sz w:val="24"/>
                <w:szCs w:val="24"/>
                <w:highlight w:val="none"/>
                <w:lang w:val="en-US" w:eastAsia="zh-CN"/>
                <w14:textFill>
                  <w14:solidFill>
                    <w14:schemeClr w14:val="tx1"/>
                  </w14:solidFill>
                </w14:textFill>
              </w:rPr>
              <w:t>pH、</w:t>
            </w:r>
            <w:r>
              <w:rPr>
                <w:rFonts w:hint="default"/>
                <w:color w:val="000000" w:themeColor="text1"/>
                <w:sz w:val="24"/>
                <w:szCs w:val="24"/>
                <w:highlight w:val="none"/>
                <w14:textFill>
                  <w14:solidFill>
                    <w14:schemeClr w14:val="tx1"/>
                  </w14:solidFill>
                </w14:textFill>
              </w:rPr>
              <w:t>氨氮、</w:t>
            </w:r>
            <w:r>
              <w:rPr>
                <w:rFonts w:hint="default"/>
                <w:color w:val="000000" w:themeColor="text1"/>
                <w:sz w:val="24"/>
                <w:szCs w:val="24"/>
                <w:highlight w:val="none"/>
                <w:lang w:val="en-US" w:eastAsia="zh-CN"/>
                <w14:textFill>
                  <w14:solidFill>
                    <w14:schemeClr w14:val="tx1"/>
                  </w14:solidFill>
                </w14:textFill>
              </w:rPr>
              <w:t>TN、</w:t>
            </w:r>
            <w:r>
              <w:rPr>
                <w:rFonts w:hint="default"/>
                <w:color w:val="000000" w:themeColor="text1"/>
                <w:sz w:val="24"/>
                <w:szCs w:val="24"/>
                <w:highlight w:val="none"/>
                <w14:textFill>
                  <w14:solidFill>
                    <w14:schemeClr w14:val="tx1"/>
                  </w14:solidFill>
                </w14:textFill>
              </w:rPr>
              <w:t>TP</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CODcr、BOD</w:t>
            </w:r>
            <w:r>
              <w:rPr>
                <w:rFonts w:hint="eastAsia"/>
                <w:color w:val="000000" w:themeColor="text1"/>
                <w:sz w:val="24"/>
                <w:szCs w:val="24"/>
                <w:vertAlign w:val="subscript"/>
                <w:lang w:val="en-US" w:eastAsia="zh-CN"/>
                <w14:textFill>
                  <w14:solidFill>
                    <w14:schemeClr w14:val="tx1"/>
                  </w14:solidFill>
                </w14:textFill>
              </w:rPr>
              <w:t>5</w:t>
            </w:r>
            <w:r>
              <w:rPr>
                <w:rFonts w:hint="eastAsia"/>
                <w:color w:val="000000" w:themeColor="text1"/>
                <w:sz w:val="24"/>
                <w:szCs w:val="24"/>
                <w:lang w:val="en-US" w:eastAsia="zh-CN"/>
                <w14:textFill>
                  <w14:solidFill>
                    <w14:schemeClr w14:val="tx1"/>
                  </w14:solidFill>
                </w14:textFill>
              </w:rPr>
              <w:t>、SS</w:t>
            </w:r>
            <w:r>
              <w:rPr>
                <w:rFonts w:hint="eastAsia"/>
                <w:color w:val="000000" w:themeColor="text1"/>
                <w:sz w:val="24"/>
                <w:szCs w:val="24"/>
                <w14:textFill>
                  <w14:solidFill>
                    <w14:schemeClr w14:val="tx1"/>
                  </w14:solidFill>
                </w14:textFill>
              </w:rPr>
              <w:t>可以达到瑶湖污水处理厂接管标准和《医疗机构水污染物排放标准》（GB18466-2005）表2中预处理标准</w:t>
            </w:r>
            <w:r>
              <w:rPr>
                <w:rFonts w:hint="default" w:ascii="Times New Roman" w:hAnsi="Times New Roman" w:eastAsia="宋体" w:cs="Times New Roman"/>
                <w:color w:val="000000" w:themeColor="text1"/>
                <w:sz w:val="24"/>
                <w:szCs w:val="24"/>
                <w:highlight w:val="none"/>
                <w14:textFill>
                  <w14:solidFill>
                    <w14:schemeClr w14:val="tx1"/>
                  </w14:solidFill>
                </w14:textFill>
              </w:rPr>
              <w:t>，粪大肠菌群数（MPN/L）</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LAS</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总余氯</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可以达到</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《医疗机构水污染物排放标准》（GB18466-2005）</w:t>
            </w:r>
            <w:r>
              <w:rPr>
                <w:rFonts w:hint="default" w:ascii="Times New Roman" w:hAnsi="Times New Roman" w:eastAsia="宋体" w:cs="Times New Roman"/>
                <w:color w:val="000000" w:themeColor="text1"/>
                <w:sz w:val="24"/>
                <w:szCs w:val="24"/>
                <w:highlight w:val="none"/>
                <w14:textFill>
                  <w14:solidFill>
                    <w14:schemeClr w14:val="tx1"/>
                  </w14:solidFill>
                </w14:textFill>
              </w:rPr>
              <w:t>表2中排放标准</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由园区污水管网排入</w:t>
            </w:r>
            <w:r>
              <w:rPr>
                <w:rFonts w:hint="eastAsia" w:cs="Times New Roman"/>
                <w:color w:val="000000" w:themeColor="text1"/>
                <w:sz w:val="24"/>
                <w:szCs w:val="24"/>
                <w:highlight w:val="none"/>
                <w:lang w:eastAsia="zh-CN"/>
                <w14:textFill>
                  <w14:solidFill>
                    <w14:schemeClr w14:val="tx1"/>
                  </w14:solidFill>
                </w14:textFill>
              </w:rPr>
              <w:t>瑶湖</w:t>
            </w:r>
            <w:r>
              <w:rPr>
                <w:rFonts w:hint="default" w:ascii="Times New Roman" w:hAnsi="Times New Roman" w:eastAsia="宋体" w:cs="Times New Roman"/>
                <w:color w:val="000000" w:themeColor="text1"/>
                <w:sz w:val="24"/>
                <w:szCs w:val="24"/>
                <w:highlight w:val="none"/>
                <w14:textFill>
                  <w14:solidFill>
                    <w14:schemeClr w14:val="tx1"/>
                  </w14:solidFill>
                </w14:textFill>
              </w:rPr>
              <w:t>污水处理厂，污水处理厂排放尾水执行《城镇污水处理厂污染物排放标准》（GB18918-2002）一级A标准</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本项目全厂水平衡分析见下表，见图2-1。</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000000" w:themeColor="text1"/>
                <w:sz w:val="18"/>
                <w:szCs w:val="21"/>
                <w:lang w:val="en-US" w:eastAsia="zh-CN"/>
                <w14:textFill>
                  <w14:solidFill>
                    <w14:schemeClr w14:val="tx1"/>
                  </w14:solidFill>
                </w14:textFill>
              </w:rPr>
            </w:pPr>
            <w:r>
              <w:rPr>
                <w:rFonts w:hint="eastAsia" w:ascii="Times New Roman" w:hAnsi="Times New Roman" w:cs="Times New Roman"/>
                <w:b/>
                <w:bCs/>
                <w:color w:val="000000" w:themeColor="text1"/>
                <w:sz w:val="18"/>
                <w:szCs w:val="21"/>
                <w:lang w:val="en-US" w:eastAsia="zh-CN"/>
                <w14:textFill>
                  <w14:solidFill>
                    <w14:schemeClr w14:val="tx1"/>
                  </w14:solidFill>
                </w14:textFill>
              </w:rPr>
              <w:t xml:space="preserve">表2-8 </w:t>
            </w:r>
            <w:r>
              <w:rPr>
                <w:rFonts w:hint="default" w:ascii="Times New Roman" w:hAnsi="Times New Roman" w:cs="Times New Roman"/>
                <w:b/>
                <w:bCs/>
                <w:color w:val="000000" w:themeColor="text1"/>
                <w:sz w:val="18"/>
                <w:szCs w:val="21"/>
                <w:lang w:val="en-US" w:eastAsia="zh-CN"/>
                <w14:textFill>
                  <w14:solidFill>
                    <w14:schemeClr w14:val="tx1"/>
                  </w14:solidFill>
                </w14:textFill>
              </w:rPr>
              <w:t>全厂水平衡一览表（m3/d）</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8"/>
              <w:gridCol w:w="509"/>
              <w:gridCol w:w="764"/>
              <w:gridCol w:w="1074"/>
              <w:gridCol w:w="1074"/>
              <w:gridCol w:w="1075"/>
              <w:gridCol w:w="1074"/>
              <w:gridCol w:w="1074"/>
              <w:gridCol w:w="1074"/>
              <w:gridCol w:w="11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70" w:type="pct"/>
                  <w:vMerge w:val="restart"/>
                  <w:tcBorders>
                    <w:tl2br w:val="nil"/>
                    <w:tr2bl w:val="nil"/>
                  </w:tcBorders>
                  <w:noWrap w:val="0"/>
                  <w:vAlign w:val="center"/>
                </w:tcPr>
                <w:p>
                  <w:pPr>
                    <w:pStyle w:val="129"/>
                    <w:adjustRightInd w:val="0"/>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序号</w:t>
                  </w:r>
                </w:p>
              </w:tc>
              <w:tc>
                <w:tcPr>
                  <w:tcW w:w="677" w:type="pct"/>
                  <w:gridSpan w:val="2"/>
                  <w:vMerge w:val="restart"/>
                  <w:tcBorders>
                    <w:tl2br w:val="nil"/>
                    <w:tr2bl w:val="nil"/>
                  </w:tcBorders>
                  <w:noWrap w:val="0"/>
                  <w:vAlign w:val="center"/>
                </w:tcPr>
                <w:p>
                  <w:pPr>
                    <w:pStyle w:val="129"/>
                    <w:adjustRightInd w:val="0"/>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用水项目</w:t>
                  </w:r>
                </w:p>
              </w:tc>
              <w:tc>
                <w:tcPr>
                  <w:tcW w:w="1711" w:type="pct"/>
                  <w:gridSpan w:val="3"/>
                  <w:tcBorders>
                    <w:tl2br w:val="nil"/>
                    <w:tr2bl w:val="nil"/>
                  </w:tcBorders>
                  <w:noWrap w:val="0"/>
                  <w:vAlign w:val="center"/>
                </w:tcPr>
                <w:p>
                  <w:pPr>
                    <w:pStyle w:val="129"/>
                    <w:adjustRightInd w:val="0"/>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进水</w:t>
                  </w:r>
                </w:p>
              </w:tc>
              <w:tc>
                <w:tcPr>
                  <w:tcW w:w="2340" w:type="pct"/>
                  <w:gridSpan w:val="4"/>
                  <w:tcBorders>
                    <w:tl2br w:val="nil"/>
                    <w:tr2bl w:val="nil"/>
                  </w:tcBorders>
                  <w:noWrap w:val="0"/>
                  <w:vAlign w:val="center"/>
                </w:tcPr>
                <w:p>
                  <w:pPr>
                    <w:pStyle w:val="129"/>
                    <w:adjustRightInd w:val="0"/>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出水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270" w:type="pct"/>
                  <w:vMerge w:val="continue"/>
                  <w:tcBorders>
                    <w:tl2br w:val="nil"/>
                    <w:tr2bl w:val="nil"/>
                  </w:tcBorders>
                  <w:noWrap w:val="0"/>
                  <w:vAlign w:val="center"/>
                </w:tcPr>
                <w:p>
                  <w:pPr>
                    <w:pStyle w:val="129"/>
                    <w:adjustRightInd w:val="0"/>
                    <w:rPr>
                      <w:b/>
                      <w:bCs/>
                      <w:color w:val="000000" w:themeColor="text1"/>
                      <w:sz w:val="21"/>
                      <w:szCs w:val="21"/>
                      <w:highlight w:val="none"/>
                      <w14:textFill>
                        <w14:solidFill>
                          <w14:schemeClr w14:val="tx1"/>
                        </w14:solidFill>
                      </w14:textFill>
                    </w:rPr>
                  </w:pPr>
                </w:p>
              </w:tc>
              <w:tc>
                <w:tcPr>
                  <w:tcW w:w="677" w:type="pct"/>
                  <w:gridSpan w:val="2"/>
                  <w:vMerge w:val="continue"/>
                  <w:tcBorders>
                    <w:tl2br w:val="nil"/>
                    <w:tr2bl w:val="nil"/>
                  </w:tcBorders>
                  <w:noWrap w:val="0"/>
                  <w:vAlign w:val="center"/>
                </w:tcPr>
                <w:p>
                  <w:pPr>
                    <w:pStyle w:val="129"/>
                    <w:adjustRightInd w:val="0"/>
                    <w:rPr>
                      <w:b/>
                      <w:bCs/>
                      <w:color w:val="000000" w:themeColor="text1"/>
                      <w:sz w:val="21"/>
                      <w:szCs w:val="21"/>
                      <w:highlight w:val="none"/>
                      <w14:textFill>
                        <w14:solidFill>
                          <w14:schemeClr w14:val="tx1"/>
                        </w14:solidFill>
                      </w14:textFill>
                    </w:rPr>
                  </w:pPr>
                </w:p>
              </w:tc>
              <w:tc>
                <w:tcPr>
                  <w:tcW w:w="570" w:type="pct"/>
                  <w:tcBorders>
                    <w:tl2br w:val="nil"/>
                    <w:tr2bl w:val="nil"/>
                  </w:tcBorders>
                  <w:noWrap w:val="0"/>
                  <w:vAlign w:val="center"/>
                </w:tcPr>
                <w:p>
                  <w:pPr>
                    <w:pStyle w:val="129"/>
                    <w:adjustRightInd w:val="0"/>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用水量</w:t>
                  </w:r>
                </w:p>
              </w:tc>
              <w:tc>
                <w:tcPr>
                  <w:tcW w:w="570" w:type="pct"/>
                  <w:tcBorders>
                    <w:tl2br w:val="nil"/>
                    <w:tr2bl w:val="nil"/>
                  </w:tcBorders>
                  <w:noWrap w:val="0"/>
                  <w:vAlign w:val="center"/>
                </w:tcPr>
                <w:p>
                  <w:pPr>
                    <w:pStyle w:val="129"/>
                    <w:adjustRightInd w:val="0"/>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新鲜水量</w:t>
                  </w:r>
                </w:p>
              </w:tc>
              <w:tc>
                <w:tcPr>
                  <w:tcW w:w="570" w:type="pct"/>
                  <w:tcBorders>
                    <w:tl2br w:val="nil"/>
                    <w:tr2bl w:val="nil"/>
                  </w:tcBorders>
                  <w:noWrap w:val="0"/>
                  <w:vAlign w:val="center"/>
                </w:tcPr>
                <w:p>
                  <w:pPr>
                    <w:pStyle w:val="129"/>
                    <w:adjustRightInd w:val="0"/>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纯水量</w:t>
                  </w:r>
                </w:p>
              </w:tc>
              <w:tc>
                <w:tcPr>
                  <w:tcW w:w="570" w:type="pct"/>
                  <w:tcBorders>
                    <w:tl2br w:val="nil"/>
                    <w:tr2bl w:val="nil"/>
                  </w:tcBorders>
                  <w:noWrap w:val="0"/>
                  <w:vAlign w:val="center"/>
                </w:tcPr>
                <w:p>
                  <w:pPr>
                    <w:pStyle w:val="129"/>
                    <w:adjustRightInd w:val="0"/>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损耗量</w:t>
                  </w:r>
                </w:p>
              </w:tc>
              <w:tc>
                <w:tcPr>
                  <w:tcW w:w="570" w:type="pct"/>
                  <w:tcBorders>
                    <w:tl2br w:val="nil"/>
                    <w:tr2bl w:val="nil"/>
                  </w:tcBorders>
                  <w:noWrap w:val="0"/>
                  <w:vAlign w:val="center"/>
                </w:tcPr>
                <w:p>
                  <w:pPr>
                    <w:pStyle w:val="129"/>
                    <w:adjustRightInd w:val="0"/>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排放量</w:t>
                  </w:r>
                </w:p>
              </w:tc>
              <w:tc>
                <w:tcPr>
                  <w:tcW w:w="570" w:type="pct"/>
                  <w:tcBorders>
                    <w:tl2br w:val="nil"/>
                    <w:tr2bl w:val="nil"/>
                  </w:tcBorders>
                  <w:noWrap w:val="0"/>
                  <w:vAlign w:val="center"/>
                </w:tcPr>
                <w:p>
                  <w:pPr>
                    <w:pStyle w:val="129"/>
                    <w:adjustRightInd w:val="0"/>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纯水</w:t>
                  </w:r>
                </w:p>
              </w:tc>
              <w:tc>
                <w:tcPr>
                  <w:tcW w:w="630" w:type="pct"/>
                  <w:tcBorders>
                    <w:tl2br w:val="nil"/>
                    <w:tr2bl w:val="nil"/>
                  </w:tcBorders>
                  <w:noWrap w:val="0"/>
                  <w:vAlign w:val="center"/>
                </w:tcPr>
                <w:p>
                  <w:pPr>
                    <w:pStyle w:val="129"/>
                    <w:adjustRightInd w:val="0"/>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除盐</w:t>
                  </w:r>
                </w:p>
                <w:p>
                  <w:pPr>
                    <w:pStyle w:val="129"/>
                    <w:adjustRightInd w:val="0"/>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浓水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7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677" w:type="pct"/>
                  <w:gridSpan w:val="2"/>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员工生活</w:t>
                  </w:r>
                </w:p>
              </w:tc>
              <w:tc>
                <w:tcPr>
                  <w:tcW w:w="57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3.72</w:t>
                  </w:r>
                </w:p>
              </w:tc>
              <w:tc>
                <w:tcPr>
                  <w:tcW w:w="905" w:type="dxa"/>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3.72</w:t>
                  </w:r>
                </w:p>
              </w:tc>
              <w:tc>
                <w:tcPr>
                  <w:tcW w:w="57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57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0.744.</w:t>
                  </w:r>
                </w:p>
              </w:tc>
              <w:tc>
                <w:tcPr>
                  <w:tcW w:w="57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2.976</w:t>
                  </w:r>
                </w:p>
              </w:tc>
              <w:tc>
                <w:tcPr>
                  <w:tcW w:w="57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63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7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w:t>
                  </w:r>
                </w:p>
              </w:tc>
              <w:tc>
                <w:tcPr>
                  <w:tcW w:w="677" w:type="pct"/>
                  <w:gridSpan w:val="2"/>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地面拖洗</w:t>
                  </w:r>
                </w:p>
              </w:tc>
              <w:tc>
                <w:tcPr>
                  <w:tcW w:w="57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0.0065</w:t>
                  </w:r>
                </w:p>
              </w:tc>
              <w:tc>
                <w:tcPr>
                  <w:tcW w:w="905" w:type="dxa"/>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0.0065</w:t>
                  </w:r>
                </w:p>
              </w:tc>
              <w:tc>
                <w:tcPr>
                  <w:tcW w:w="57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57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0.0013</w:t>
                  </w:r>
                </w:p>
              </w:tc>
              <w:tc>
                <w:tcPr>
                  <w:tcW w:w="57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0.0052</w:t>
                  </w:r>
                </w:p>
              </w:tc>
              <w:tc>
                <w:tcPr>
                  <w:tcW w:w="57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63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27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w:t>
                  </w:r>
                </w:p>
              </w:tc>
              <w:tc>
                <w:tcPr>
                  <w:tcW w:w="271" w:type="pct"/>
                  <w:vMerge w:val="restar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清洗</w:t>
                  </w:r>
                </w:p>
              </w:tc>
              <w:tc>
                <w:tcPr>
                  <w:tcW w:w="405"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实验服</w:t>
                  </w:r>
                </w:p>
              </w:tc>
              <w:tc>
                <w:tcPr>
                  <w:tcW w:w="57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0.6</w:t>
                  </w:r>
                </w:p>
              </w:tc>
              <w:tc>
                <w:tcPr>
                  <w:tcW w:w="905" w:type="dxa"/>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0.6</w:t>
                  </w:r>
                </w:p>
              </w:tc>
              <w:tc>
                <w:tcPr>
                  <w:tcW w:w="57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57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0.12</w:t>
                  </w:r>
                </w:p>
              </w:tc>
              <w:tc>
                <w:tcPr>
                  <w:tcW w:w="57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0.48</w:t>
                  </w:r>
                </w:p>
              </w:tc>
              <w:tc>
                <w:tcPr>
                  <w:tcW w:w="57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63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27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w:t>
                  </w:r>
                </w:p>
              </w:tc>
              <w:tc>
                <w:tcPr>
                  <w:tcW w:w="271" w:type="pct"/>
                  <w:vMerge w:val="continue"/>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p>
              </w:tc>
              <w:tc>
                <w:tcPr>
                  <w:tcW w:w="405"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实验器皿</w:t>
                  </w:r>
                </w:p>
              </w:tc>
              <w:tc>
                <w:tcPr>
                  <w:tcW w:w="57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905" w:type="dxa"/>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57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57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0.2</w:t>
                  </w:r>
                </w:p>
              </w:tc>
              <w:tc>
                <w:tcPr>
                  <w:tcW w:w="57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0.8</w:t>
                  </w:r>
                </w:p>
              </w:tc>
              <w:tc>
                <w:tcPr>
                  <w:tcW w:w="57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63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27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w:t>
                  </w:r>
                </w:p>
              </w:tc>
              <w:tc>
                <w:tcPr>
                  <w:tcW w:w="271" w:type="pct"/>
                  <w:vMerge w:val="continue"/>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p>
              </w:tc>
              <w:tc>
                <w:tcPr>
                  <w:tcW w:w="405"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笼具</w:t>
                  </w:r>
                </w:p>
              </w:tc>
              <w:tc>
                <w:tcPr>
                  <w:tcW w:w="57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0.2</w:t>
                  </w:r>
                </w:p>
              </w:tc>
              <w:tc>
                <w:tcPr>
                  <w:tcW w:w="905" w:type="dxa"/>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0.2</w:t>
                  </w:r>
                </w:p>
              </w:tc>
              <w:tc>
                <w:tcPr>
                  <w:tcW w:w="57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57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0.04</w:t>
                  </w:r>
                </w:p>
              </w:tc>
              <w:tc>
                <w:tcPr>
                  <w:tcW w:w="57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0.16</w:t>
                  </w:r>
                </w:p>
              </w:tc>
              <w:tc>
                <w:tcPr>
                  <w:tcW w:w="57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63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7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w:t>
                  </w:r>
                </w:p>
              </w:tc>
              <w:tc>
                <w:tcPr>
                  <w:tcW w:w="677" w:type="pct"/>
                  <w:gridSpan w:val="2"/>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试剂调配</w:t>
                  </w:r>
                </w:p>
              </w:tc>
              <w:tc>
                <w:tcPr>
                  <w:tcW w:w="57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0.7</w:t>
                  </w:r>
                </w:p>
              </w:tc>
              <w:tc>
                <w:tcPr>
                  <w:tcW w:w="57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57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0.7</w:t>
                  </w:r>
                </w:p>
              </w:tc>
              <w:tc>
                <w:tcPr>
                  <w:tcW w:w="57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0.7</w:t>
                  </w:r>
                </w:p>
              </w:tc>
              <w:tc>
                <w:tcPr>
                  <w:tcW w:w="57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57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63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27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7</w:t>
                  </w:r>
                </w:p>
              </w:tc>
              <w:tc>
                <w:tcPr>
                  <w:tcW w:w="677" w:type="pct"/>
                  <w:gridSpan w:val="2"/>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制纯水</w:t>
                  </w:r>
                </w:p>
              </w:tc>
              <w:tc>
                <w:tcPr>
                  <w:tcW w:w="57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1.4</w:t>
                  </w:r>
                </w:p>
              </w:tc>
              <w:tc>
                <w:tcPr>
                  <w:tcW w:w="57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1.4</w:t>
                  </w:r>
                </w:p>
              </w:tc>
              <w:tc>
                <w:tcPr>
                  <w:tcW w:w="57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57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57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57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0.7</w:t>
                  </w:r>
                </w:p>
              </w:tc>
              <w:tc>
                <w:tcPr>
                  <w:tcW w:w="63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70" w:type="pct"/>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8</w:t>
                  </w:r>
                </w:p>
              </w:tc>
              <w:tc>
                <w:tcPr>
                  <w:tcW w:w="677" w:type="pct"/>
                  <w:gridSpan w:val="2"/>
                  <w:tcBorders>
                    <w:tl2br w:val="nil"/>
                    <w:tr2bl w:val="nil"/>
                  </w:tcBorders>
                  <w:noWrap w:val="0"/>
                  <w:vAlign w:val="center"/>
                </w:tcPr>
                <w:p>
                  <w:pPr>
                    <w:pStyle w:val="129"/>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总计</w:t>
                  </w:r>
                </w:p>
              </w:tc>
              <w:tc>
                <w:tcPr>
                  <w:tcW w:w="905" w:type="dxa"/>
                  <w:tcBorders>
                    <w:tl2br w:val="nil"/>
                    <w:tr2bl w:val="nil"/>
                  </w:tcBorders>
                  <w:noWrap w:val="0"/>
                  <w:vAlign w:val="center"/>
                </w:tcPr>
                <w:p>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7.6265</w:t>
                  </w:r>
                </w:p>
              </w:tc>
              <w:tc>
                <w:tcPr>
                  <w:tcW w:w="905" w:type="dxa"/>
                  <w:tcBorders>
                    <w:tl2br w:val="nil"/>
                    <w:tr2bl w:val="nil"/>
                  </w:tcBorders>
                  <w:noWrap w:val="0"/>
                  <w:vAlign w:val="center"/>
                </w:tcPr>
                <w:p>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1.4</w:t>
                  </w:r>
                </w:p>
              </w:tc>
              <w:tc>
                <w:tcPr>
                  <w:tcW w:w="906" w:type="dxa"/>
                  <w:tcBorders>
                    <w:tl2br w:val="nil"/>
                    <w:tr2bl w:val="nil"/>
                  </w:tcBorders>
                  <w:noWrap w:val="0"/>
                  <w:vAlign w:val="center"/>
                </w:tcPr>
                <w:p>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0.7</w:t>
                  </w:r>
                </w:p>
              </w:tc>
              <w:tc>
                <w:tcPr>
                  <w:tcW w:w="905" w:type="dxa"/>
                  <w:tcBorders>
                    <w:tl2br w:val="nil"/>
                    <w:tr2bl w:val="nil"/>
                  </w:tcBorders>
                  <w:noWrap w:val="0"/>
                  <w:vAlign w:val="center"/>
                </w:tcPr>
                <w:p>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1.8053</w:t>
                  </w:r>
                </w:p>
              </w:tc>
              <w:tc>
                <w:tcPr>
                  <w:tcW w:w="905" w:type="dxa"/>
                  <w:tcBorders>
                    <w:tl2br w:val="nil"/>
                    <w:tr2bl w:val="nil"/>
                  </w:tcBorders>
                  <w:noWrap w:val="0"/>
                  <w:vAlign w:val="center"/>
                </w:tcPr>
                <w:p>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4.4212</w:t>
                  </w:r>
                </w:p>
              </w:tc>
              <w:tc>
                <w:tcPr>
                  <w:tcW w:w="905" w:type="dxa"/>
                  <w:tcBorders>
                    <w:tl2br w:val="nil"/>
                    <w:tr2bl w:val="nil"/>
                  </w:tcBorders>
                  <w:noWrap w:val="0"/>
                  <w:vAlign w:val="center"/>
                </w:tcPr>
                <w:p>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0.7</w:t>
                  </w:r>
                </w:p>
              </w:tc>
              <w:tc>
                <w:tcPr>
                  <w:tcW w:w="1000" w:type="dxa"/>
                  <w:tcBorders>
                    <w:tl2br w:val="nil"/>
                    <w:tr2bl w:val="nil"/>
                  </w:tcBorders>
                  <w:noWrap w:val="0"/>
                  <w:vAlign w:val="center"/>
                </w:tcPr>
                <w:p>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0.7</w:t>
                  </w:r>
                </w:p>
              </w:tc>
            </w:tr>
          </w:tbl>
          <w:p>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p>
          <w:p>
            <w:pPr>
              <w:pStyle w:val="93"/>
              <w:ind w:firstLine="0" w:firstLineChars="0"/>
              <w:jc w:val="center"/>
              <w:rPr>
                <w:color w:val="000000" w:themeColor="text1"/>
                <w14:textFill>
                  <w14:solidFill>
                    <w14:schemeClr w14:val="tx1"/>
                  </w14:solidFill>
                </w14:textFill>
              </w:rPr>
            </w:pPr>
            <w:r>
              <w:rPr>
                <w:b/>
                <w:bCs/>
                <w:color w:val="000000" w:themeColor="text1"/>
                <w:highlight w:val="none"/>
                <w14:textFill>
                  <w14:solidFill>
                    <w14:schemeClr w14:val="tx1"/>
                  </w14:solidFill>
                </w14:textFill>
              </w:rPr>
              <w:object>
                <v:shape id="_x0000_i1025" o:spt="75" type="#_x0000_t75" style="height:336pt;width:396.75pt;" o:ole="t" filled="f" o:preferrelative="t" stroked="f" coordsize="21600,21600">
                  <v:path/>
                  <v:fill on="f" focussize="0,0"/>
                  <v:stroke on="f"/>
                  <v:imagedata r:id="rId11" o:title=""/>
                  <o:lock v:ext="edit" aspectratio="f"/>
                  <w10:wrap type="none"/>
                  <w10:anchorlock/>
                </v:shape>
                <o:OLEObject Type="Embed" ProgID="Visio.Drawing.11" ShapeID="_x0000_i1025" DrawAspect="Content" ObjectID="_1468075725" r:id="rId10">
                  <o:LockedField>false</o:LockedField>
                </o:OLEObject>
              </w:object>
            </w:r>
          </w:p>
          <w:p>
            <w:pPr>
              <w:pStyle w:val="93"/>
              <w:spacing w:line="240" w:lineRule="auto"/>
              <w:ind w:firstLine="0" w:firstLineChars="0"/>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图2-1 水平衡图（单位m</w:t>
            </w:r>
            <w:r>
              <w:rPr>
                <w:rFonts w:hint="eastAsia"/>
                <w:b/>
                <w:bCs/>
                <w:color w:val="000000" w:themeColor="text1"/>
                <w:sz w:val="18"/>
                <w:szCs w:val="18"/>
                <w:vertAlign w:val="superscript"/>
                <w14:textFill>
                  <w14:solidFill>
                    <w14:schemeClr w14:val="tx1"/>
                  </w14:solidFill>
                </w14:textFill>
              </w:rPr>
              <w:t>3</w:t>
            </w:r>
            <w:r>
              <w:rPr>
                <w:rFonts w:hint="eastAsia"/>
                <w:b/>
                <w:bCs/>
                <w:color w:val="000000" w:themeColor="text1"/>
                <w:sz w:val="18"/>
                <w:szCs w:val="18"/>
                <w14:textFill>
                  <w14:solidFill>
                    <w14:schemeClr w14:val="tx1"/>
                  </w14:solidFill>
                </w14:textFill>
              </w:rPr>
              <w:t>/d）</w:t>
            </w:r>
          </w:p>
          <w:p>
            <w:pPr>
              <w:spacing w:line="360" w:lineRule="auto"/>
              <w:jc w:val="left"/>
              <w:rPr>
                <w:color w:val="000000" w:themeColor="text1"/>
                <w:kern w:val="0"/>
                <w:sz w:val="24"/>
                <w:szCs w:val="24"/>
                <w14:textFill>
                  <w14:solidFill>
                    <w14:schemeClr w14:val="tx1"/>
                  </w14:solidFill>
                </w14:textFill>
              </w:rPr>
            </w:pPr>
            <w:r>
              <w:rPr>
                <w:rFonts w:hint="eastAsia"/>
                <w:b/>
                <w:color w:val="000000" w:themeColor="text1"/>
                <w:kern w:val="0"/>
                <w:sz w:val="24"/>
                <w:szCs w:val="24"/>
                <w14:textFill>
                  <w14:solidFill>
                    <w14:schemeClr w14:val="tx1"/>
                  </w14:solidFill>
                </w14:textFill>
              </w:rPr>
              <w:t>2.</w:t>
            </w:r>
            <w:r>
              <w:rPr>
                <w:b/>
                <w:color w:val="000000" w:themeColor="text1"/>
                <w:kern w:val="0"/>
                <w:sz w:val="24"/>
                <w:szCs w:val="24"/>
                <w14:textFill>
                  <w14:solidFill>
                    <w14:schemeClr w14:val="tx1"/>
                  </w14:solidFill>
                </w14:textFill>
              </w:rPr>
              <w:t>6</w:t>
            </w:r>
            <w:r>
              <w:rPr>
                <w:rFonts w:hint="eastAsia"/>
                <w:b/>
                <w:color w:val="000000" w:themeColor="text1"/>
                <w:kern w:val="0"/>
                <w:sz w:val="24"/>
                <w:szCs w:val="24"/>
                <w14:textFill>
                  <w14:solidFill>
                    <w14:schemeClr w14:val="tx1"/>
                  </w14:solidFill>
                </w14:textFill>
              </w:rPr>
              <w:t>主要生产工艺及污染物产出环节</w:t>
            </w:r>
          </w:p>
          <w:p>
            <w:pPr>
              <w:adjustRightInd w:val="0"/>
              <w:snapToGrid w:val="0"/>
              <w:spacing w:line="360" w:lineRule="auto"/>
              <w:ind w:firstLine="480" w:firstLineChars="200"/>
              <w:jc w:val="left"/>
              <w:rPr>
                <w:rFonts w:hint="default" w:ascii="Times New Roman" w:hAnsi="Times New Roman" w:eastAsia="宋体" w:cs="Times New Roman"/>
                <w:color w:val="000000" w:themeColor="text1"/>
                <w:sz w:val="24"/>
                <w:highlight w:val="none"/>
                <w:lang w:eastAsia="zh-TW"/>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z w:val="24"/>
                <w:highlight w:val="none"/>
                <w14:textFill>
                  <w14:solidFill>
                    <w14:schemeClr w14:val="tx1"/>
                  </w14:solidFill>
                </w14:textFill>
              </w:rPr>
              <w:t>动物实验和药物实验工艺流程及工艺说明：</w:t>
            </w:r>
          </w:p>
          <w:p>
            <w:pPr>
              <w:adjustRightInd w:val="0"/>
              <w:snapToGrid w:val="0"/>
              <w:spacing w:line="360" w:lineRule="auto"/>
              <w:ind w:firstLine="480" w:firstLineChars="200"/>
              <w:rPr>
                <w:rFonts w:ascii="Times New Roman" w:hAnsi="Times New Roman" w:cs="Times New Roman"/>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本项目实验内容视检测方案而定，主要包括药物的分析检测、动物实验（药物药效和毒理</w:t>
            </w:r>
            <w:r>
              <w:rPr>
                <w:rFonts w:ascii="Times New Roman" w:hAnsi="Times New Roman" w:cs="Times New Roman"/>
                <w:bCs/>
                <w:color w:val="000000" w:themeColor="text1"/>
                <w:sz w:val="24"/>
                <w:highlight w:val="none"/>
                <w14:textFill>
                  <w14:solidFill>
                    <w14:schemeClr w14:val="tx1"/>
                  </w14:solidFill>
                </w14:textFill>
              </w:rPr>
              <w:t>实验）、药物的制剂实验。</w:t>
            </w:r>
          </w:p>
          <w:p>
            <w:pPr>
              <w:adjustRightInd w:val="0"/>
              <w:snapToGrid w:val="0"/>
              <w:spacing w:line="360" w:lineRule="auto"/>
              <w:ind w:firstLine="480" w:firstLineChars="200"/>
              <w:rPr>
                <w:rFonts w:ascii="Times New Roman" w:hAnsi="Times New Roman" w:cs="Times New Roman"/>
                <w:bCs/>
                <w:color w:val="000000" w:themeColor="text1"/>
                <w:sz w:val="24"/>
                <w:highlight w:val="none"/>
                <w:lang w:val="en-US" w:eastAsia="zh-CN"/>
                <w14:textFill>
                  <w14:solidFill>
                    <w14:schemeClr w14:val="tx1"/>
                  </w14:solidFill>
                </w14:textFill>
              </w:rPr>
            </w:pPr>
            <w:r>
              <w:rPr>
                <w:rFonts w:hint="eastAsia" w:ascii="Times New Roman" w:hAnsi="Times New Roman" w:cs="Times New Roman"/>
                <w:bCs/>
                <w:color w:val="000000" w:themeColor="text1"/>
                <w:sz w:val="24"/>
                <w:highlight w:val="none"/>
                <w:lang w:val="en-US" w:eastAsia="zh-CN"/>
                <w14:textFill>
                  <w14:solidFill>
                    <w14:schemeClr w14:val="tx1"/>
                  </w14:solidFill>
                </w14:textFill>
              </w:rPr>
              <w:t>动物实验、药物分析检测和药物的制剂实验主要是针对供药单位提供的药品和实验方案进行具体实验，实验方案包括：①通过动物实验得出药物对某种疾病的资料效果；②通过样品前处理、分析得出药物的理化性质；③通过小规模制剂实验判断不同性状（固态或液态）的同种药物对某种疾病治疗效果的影响。</w:t>
            </w:r>
          </w:p>
          <w:p>
            <w:pPr>
              <w:adjustRightInd w:val="0"/>
              <w:snapToGrid w:val="0"/>
              <w:spacing w:line="360" w:lineRule="auto"/>
              <w:ind w:firstLine="480" w:firstLineChars="200"/>
              <w:rPr>
                <w:rFonts w:hint="eastAsia" w:ascii="Times New Roman" w:hAnsi="Times New Roman" w:cs="Times New Roman"/>
                <w:bCs/>
                <w:color w:val="000000" w:themeColor="text1"/>
                <w:sz w:val="24"/>
                <w:highlight w:val="none"/>
                <w:lang w:val="en-US" w:eastAsia="zh-CN"/>
                <w14:textFill>
                  <w14:solidFill>
                    <w14:schemeClr w14:val="tx1"/>
                  </w14:solidFill>
                </w14:textFill>
              </w:rPr>
            </w:pPr>
            <w:r>
              <w:rPr>
                <w:rFonts w:hint="eastAsia" w:ascii="Times New Roman" w:hAnsi="Times New Roman" w:cs="Times New Roman"/>
                <w:bCs/>
                <w:color w:val="000000" w:themeColor="text1"/>
                <w:sz w:val="24"/>
                <w:highlight w:val="none"/>
                <w:lang w:val="en-US" w:eastAsia="zh-CN"/>
                <w14:textFill>
                  <w14:solidFill>
                    <w14:schemeClr w14:val="tx1"/>
                  </w14:solidFill>
                </w14:textFill>
              </w:rPr>
              <w:t>（1）动物接收、饲养</w:t>
            </w:r>
          </w:p>
          <w:p>
            <w:pPr>
              <w:tabs>
                <w:tab w:val="left" w:pos="705"/>
              </w:tabs>
              <w:adjustRightInd w:val="0"/>
              <w:snapToGrid w:val="0"/>
              <w:spacing w:line="360" w:lineRule="auto"/>
              <w:ind w:firstLine="480" w:firstLineChars="200"/>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本项目所有实验所使用的犬、兔、豚鼠、大鼠和小鼠等，接收后先经隔离检疫，合格后再利用动物培养系统饲养，动物定时定量饲喂，定期更换垫料（包含粪便，动物生活、排泄均在垫料中），饲养一段时间后，再用于后续实验研究。在饲养过程，死亡的小动物密封包装后暂存于冰箱中，定期委托持有许可证的动物尸体机构处理。</w:t>
            </w:r>
          </w:p>
          <w:p>
            <w:pPr>
              <w:adjustRightInd w:val="0"/>
              <w:snapToGrid w:val="0"/>
              <w:spacing w:line="360" w:lineRule="auto"/>
              <w:ind w:firstLine="480" w:firstLineChars="200"/>
              <w:rPr>
                <w:b w:val="0"/>
                <w:bCs/>
                <w:color w:val="000000" w:themeColor="text1"/>
                <w:sz w:val="24"/>
                <w:highlight w:val="none"/>
                <w14:textFill>
                  <w14:solidFill>
                    <w14:schemeClr w14:val="tx1"/>
                  </w14:solidFill>
                </w14:textFill>
              </w:rPr>
            </w:pPr>
            <w:r>
              <w:rPr>
                <w:rFonts w:hint="eastAsia"/>
                <w:b w:val="0"/>
                <w:bCs/>
                <w:color w:val="000000" w:themeColor="text1"/>
                <w:sz w:val="24"/>
                <w:highlight w:val="none"/>
                <w:lang w:eastAsia="zh-CN"/>
                <w14:textFill>
                  <w14:solidFill>
                    <w14:schemeClr w14:val="tx1"/>
                  </w14:solidFill>
                </w14:textFill>
              </w:rPr>
              <w:t>（</w:t>
            </w:r>
            <w:r>
              <w:rPr>
                <w:rFonts w:hint="eastAsia"/>
                <w:b w:val="0"/>
                <w:bCs/>
                <w:color w:val="000000" w:themeColor="text1"/>
                <w:sz w:val="24"/>
                <w:highlight w:val="none"/>
                <w:lang w:val="en-US" w:eastAsia="zh-CN"/>
                <w14:textFill>
                  <w14:solidFill>
                    <w14:schemeClr w14:val="tx1"/>
                  </w14:solidFill>
                </w14:textFill>
              </w:rPr>
              <w:t>2</w:t>
            </w:r>
            <w:r>
              <w:rPr>
                <w:rFonts w:hint="eastAsia"/>
                <w:b w:val="0"/>
                <w:bCs/>
                <w:color w:val="000000" w:themeColor="text1"/>
                <w:sz w:val="24"/>
                <w:highlight w:val="none"/>
                <w:lang w:eastAsia="zh-CN"/>
                <w14:textFill>
                  <w14:solidFill>
                    <w14:schemeClr w14:val="tx1"/>
                  </w14:solidFill>
                </w14:textFill>
              </w:rPr>
              <w:t>）</w:t>
            </w:r>
            <w:r>
              <w:rPr>
                <w:b w:val="0"/>
                <w:bCs/>
                <w:color w:val="000000" w:themeColor="text1"/>
                <w:sz w:val="24"/>
                <w:highlight w:val="none"/>
                <w14:textFill>
                  <w14:solidFill>
                    <w14:schemeClr w14:val="tx1"/>
                  </w14:solidFill>
                </w14:textFill>
              </w:rPr>
              <w:t>动物实验</w:t>
            </w:r>
          </w:p>
          <w:p>
            <w:pPr>
              <w:adjustRightInd w:val="0"/>
              <w:snapToGrid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药理学实验：药理学实验准备阶段，从笼具中取出实验动物后将其麻醉，头部固定于立体定位仪上；实验操作阶段，实验人员自备接种的细胞，将细胞注射入皮下后，观察成瘤</w:t>
            </w:r>
            <w:r>
              <w:rPr>
                <w:rFonts w:hint="eastAsia"/>
                <w:color w:val="000000" w:themeColor="text1"/>
                <w:sz w:val="24"/>
                <w:highlight w:val="none"/>
                <w14:textFill>
                  <w14:solidFill>
                    <w14:schemeClr w14:val="tx1"/>
                  </w14:solidFill>
                </w14:textFill>
              </w:rPr>
              <w:t>或摄入细胞的活性</w:t>
            </w:r>
            <w:r>
              <w:rPr>
                <w:color w:val="000000" w:themeColor="text1"/>
                <w:sz w:val="24"/>
                <w:highlight w:val="none"/>
                <w14:textFill>
                  <w14:solidFill>
                    <w14:schemeClr w14:val="tx1"/>
                  </w14:solidFill>
                </w14:textFill>
              </w:rPr>
              <w:t>，之后给予药物</w:t>
            </w:r>
            <w:r>
              <w:rPr>
                <w:rFonts w:hint="eastAsia"/>
                <w:color w:val="000000" w:themeColor="text1"/>
                <w:sz w:val="24"/>
                <w:highlight w:val="none"/>
                <w14:textFill>
                  <w14:solidFill>
                    <w14:schemeClr w14:val="tx1"/>
                  </w14:solidFill>
                </w14:textFill>
              </w:rPr>
              <w:t>（供药单位提供）</w:t>
            </w:r>
            <w:r>
              <w:rPr>
                <w:color w:val="000000" w:themeColor="text1"/>
                <w:sz w:val="24"/>
                <w:highlight w:val="none"/>
                <w14:textFill>
                  <w14:solidFill>
                    <w14:schemeClr w14:val="tx1"/>
                  </w14:solidFill>
                </w14:textFill>
              </w:rPr>
              <w:t>，研究该药物对疾病的治疗效果及对动物的毒性作用。</w:t>
            </w:r>
          </w:p>
          <w:p>
            <w:pPr>
              <w:adjustRightInd w:val="0"/>
              <w:snapToGrid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实验善后：实验场所定期喷洒84消毒液进行灭菌；外排清洗废水采用含氯消毒片预处理；实验动物死后密封包装储存于冰箱中，定期委托持有许可证的动物尸体机构处理。</w:t>
            </w:r>
          </w:p>
          <w:p>
            <w:pPr>
              <w:pStyle w:val="131"/>
              <w:tabs>
                <w:tab w:val="left" w:pos="0"/>
              </w:tabs>
              <w:adjustRightInd w:val="0"/>
              <w:snapToGrid w:val="0"/>
              <w:spacing w:line="360" w:lineRule="auto"/>
              <w:ind w:firstLine="504" w:firstLineChars="200"/>
              <w:jc w:val="left"/>
              <w:rPr>
                <w:b w:val="0"/>
                <w:bCs w:val="0"/>
                <w:color w:val="000000" w:themeColor="text1"/>
                <w:highlight w:val="none"/>
                <w14:textFill>
                  <w14:solidFill>
                    <w14:schemeClr w14:val="tx1"/>
                  </w14:solidFill>
                </w14:textFill>
              </w:rPr>
            </w:pPr>
            <w:r>
              <w:rPr>
                <w:rFonts w:hint="eastAsia"/>
                <w:b w:val="0"/>
                <w:bCs w:val="0"/>
                <w:color w:val="000000" w:themeColor="text1"/>
                <w:highlight w:val="none"/>
                <w:lang w:eastAsia="zh-CN"/>
                <w14:textFill>
                  <w14:solidFill>
                    <w14:schemeClr w14:val="tx1"/>
                  </w14:solidFill>
                </w14:textFill>
              </w:rPr>
              <w:t>（</w:t>
            </w:r>
            <w:r>
              <w:rPr>
                <w:rFonts w:hint="eastAsia"/>
                <w:b w:val="0"/>
                <w:bCs w:val="0"/>
                <w:color w:val="000000" w:themeColor="text1"/>
                <w:highlight w:val="none"/>
                <w:lang w:val="en-US" w:eastAsia="zh-CN"/>
                <w14:textFill>
                  <w14:solidFill>
                    <w14:schemeClr w14:val="tx1"/>
                  </w14:solidFill>
                </w14:textFill>
              </w:rPr>
              <w:t>3</w:t>
            </w:r>
            <w:r>
              <w:rPr>
                <w:rFonts w:hint="eastAsia"/>
                <w:b w:val="0"/>
                <w:bCs w:val="0"/>
                <w:color w:val="000000" w:themeColor="text1"/>
                <w:highlight w:val="none"/>
                <w:lang w:eastAsia="zh-CN"/>
                <w14:textFill>
                  <w14:solidFill>
                    <w14:schemeClr w14:val="tx1"/>
                  </w14:solidFill>
                </w14:textFill>
              </w:rPr>
              <w:t>）</w:t>
            </w:r>
            <w:r>
              <w:rPr>
                <w:b w:val="0"/>
                <w:bCs w:val="0"/>
                <w:color w:val="000000" w:themeColor="text1"/>
                <w:highlight w:val="none"/>
                <w14:textFill>
                  <w14:solidFill>
                    <w14:schemeClr w14:val="tx1"/>
                  </w14:solidFill>
                </w14:textFill>
              </w:rPr>
              <w:t>药物分析/药理实验</w:t>
            </w:r>
          </w:p>
          <w:p>
            <w:pPr>
              <w:pStyle w:val="131"/>
              <w:tabs>
                <w:tab w:val="left" w:pos="0"/>
              </w:tabs>
              <w:adjustRightInd w:val="0"/>
              <w:snapToGrid w:val="0"/>
              <w:spacing w:line="360" w:lineRule="auto"/>
              <w:ind w:firstLine="504" w:firstLineChars="200"/>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本项目接收药物样品后，经过</w:t>
            </w:r>
            <w:r>
              <w:rPr>
                <w:rFonts w:hint="eastAsia"/>
                <w:color w:val="000000" w:themeColor="text1"/>
                <w:highlight w:val="none"/>
                <w:lang w:val="en-US" w:eastAsia="zh-CN"/>
                <w14:textFill>
                  <w14:solidFill>
                    <w14:schemeClr w14:val="tx1"/>
                  </w14:solidFill>
                </w14:textFill>
              </w:rPr>
              <w:t>药物</w:t>
            </w:r>
            <w:r>
              <w:rPr>
                <w:color w:val="000000" w:themeColor="text1"/>
                <w:highlight w:val="none"/>
                <w14:textFill>
                  <w14:solidFill>
                    <w14:schemeClr w14:val="tx1"/>
                  </w14:solidFill>
                </w14:textFill>
              </w:rPr>
              <w:t>前处理、分析检测后可得到药物的各种理化性质。</w:t>
            </w:r>
          </w:p>
          <w:p>
            <w:pPr>
              <w:pStyle w:val="131"/>
              <w:tabs>
                <w:tab w:val="left" w:pos="0"/>
              </w:tabs>
              <w:adjustRightInd w:val="0"/>
              <w:snapToGrid w:val="0"/>
              <w:spacing w:line="360" w:lineRule="auto"/>
              <w:ind w:firstLine="504" w:firstLineChars="20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本项目纯水全部用于调配药物或试剂，不外排。</w:t>
            </w:r>
          </w:p>
          <w:p>
            <w:pPr>
              <w:pStyle w:val="131"/>
              <w:tabs>
                <w:tab w:val="left" w:pos="0"/>
              </w:tabs>
              <w:adjustRightInd w:val="0"/>
              <w:snapToGrid w:val="0"/>
              <w:spacing w:line="360" w:lineRule="auto"/>
              <w:ind w:firstLine="504" w:firstLineChars="200"/>
              <w:jc w:val="left"/>
              <w:rPr>
                <w:bCs/>
                <w:color w:val="000000" w:themeColor="text1"/>
                <w:spacing w:val="0"/>
                <w:highlight w:val="none"/>
                <w14:textFill>
                  <w14:solidFill>
                    <w14:schemeClr w14:val="tx1"/>
                  </w14:solidFill>
                </w14:textFill>
              </w:rPr>
            </w:pPr>
            <w:r>
              <w:rPr>
                <w:color w:val="000000" w:themeColor="text1"/>
                <w:highlight w:val="none"/>
                <w14:textFill>
                  <w14:solidFill>
                    <w14:schemeClr w14:val="tx1"/>
                  </w14:solidFill>
                </w14:textFill>
              </w:rPr>
              <w:t>动物实验和药物试验过程产生的污染为：动物恶臭（G1，NH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S、臭气浓度）、</w:t>
            </w:r>
            <w:r>
              <w:rPr>
                <w:rFonts w:hint="eastAsia"/>
                <w:color w:val="000000" w:themeColor="text1"/>
                <w:highlight w:val="none"/>
                <w14:textFill>
                  <w14:solidFill>
                    <w14:schemeClr w14:val="tx1"/>
                  </w14:solidFill>
                </w14:textFill>
              </w:rPr>
              <w:t>前处理</w:t>
            </w:r>
            <w:r>
              <w:rPr>
                <w:color w:val="000000" w:themeColor="text1"/>
                <w:highlight w:val="none"/>
                <w14:textFill>
                  <w14:solidFill>
                    <w14:schemeClr w14:val="tx1"/>
                  </w14:solidFill>
                </w14:textFill>
              </w:rPr>
              <w:t>废气（G2，非甲烷总烃</w:t>
            </w:r>
            <w:r>
              <w:rPr>
                <w:rFonts w:hint="eastAsia"/>
                <w:color w:val="000000" w:themeColor="text1"/>
                <w:highlight w:val="none"/>
                <w14:textFill>
                  <w14:solidFill>
                    <w14:schemeClr w14:val="tx1"/>
                  </w14:solidFill>
                </w14:textFill>
              </w:rPr>
              <w:t>等</w:t>
            </w:r>
            <w:r>
              <w:rPr>
                <w:color w:val="000000" w:themeColor="text1"/>
                <w:highlight w:val="none"/>
                <w14:textFill>
                  <w14:solidFill>
                    <w14:schemeClr w14:val="tx1"/>
                  </w14:solidFill>
                </w14:textFill>
              </w:rPr>
              <w:t>）；清洗废水（W1）；饲养废弃物（S1，废饲料、废垫料）、实验废弃物（S2，废注射器、废防护用品）、实验动物尸体（S3）；风机工作噪声（N）。</w:t>
            </w:r>
          </w:p>
          <w:p>
            <w:pPr>
              <w:adjustRightInd w:val="0"/>
              <w:snapToGrid w:val="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b/>
                <w:color w:val="000000" w:themeColor="text1"/>
                <w:sz w:val="24"/>
                <w:highlight w:val="none"/>
                <w:lang w:eastAsia="zh-CN"/>
                <w14:textFill>
                  <w14:solidFill>
                    <w14:schemeClr w14:val="tx1"/>
                  </w14:solidFill>
                </w14:textFill>
              </w:rPr>
              <w:t>①</w:t>
            </w:r>
            <w:r>
              <w:rPr>
                <w:rFonts w:hint="eastAsia" w:cs="Times New Roman"/>
                <w:b/>
                <w:color w:val="000000" w:themeColor="text1"/>
                <w:sz w:val="24"/>
                <w:highlight w:val="none"/>
                <w:lang w:eastAsia="zh-CN"/>
                <w14:textFill>
                  <w14:solidFill>
                    <w14:schemeClr w14:val="tx1"/>
                  </w14:solidFill>
                </w14:textFill>
              </w:rPr>
              <w:t>动物（含细胞）实验流程图</w:t>
            </w:r>
          </w:p>
          <w:p>
            <w:pPr>
              <w:spacing w:line="360" w:lineRule="auto"/>
              <w:jc w:val="center"/>
              <w:rPr>
                <w:rFonts w:hint="default" w:ascii="Times New Roman" w:hAnsi="Times New Roman" w:eastAsia="宋体" w:cs="Times New Roman"/>
                <w:bCs/>
                <w:color w:val="000000" w:themeColor="text1"/>
                <w:sz w:val="24"/>
                <w:highlight w:val="none"/>
                <w14:textFill>
                  <w14:solidFill>
                    <w14:schemeClr w14:val="tx1"/>
                  </w14:solidFill>
                </w14:textFill>
              </w:rPr>
            </w:pPr>
            <w:r>
              <w:rPr>
                <w:b/>
                <w:color w:val="000000" w:themeColor="text1"/>
                <w:szCs w:val="21"/>
                <w:highlight w:val="none"/>
                <w14:textFill>
                  <w14:solidFill>
                    <w14:schemeClr w14:val="tx1"/>
                  </w14:solidFill>
                </w14:textFill>
              </w:rPr>
              <w:object>
                <v:shape id="_x0000_i1026" o:spt="75" type="#_x0000_t75" style="height:253.7pt;width:396.7pt;" o:ole="t" filled="f" o:preferrelative="t" stroked="f" coordsize="21600,21600">
                  <v:path/>
                  <v:fill on="f" focussize="0,0"/>
                  <v:stroke on="f"/>
                  <v:imagedata r:id="rId13" o:title=""/>
                  <o:lock v:ext="edit" aspectratio="f"/>
                  <w10:wrap type="none"/>
                  <w10:anchorlock/>
                </v:shape>
                <o:OLEObject Type="Embed" ProgID="Visio.Drawing.11" ShapeID="_x0000_i1026" DrawAspect="Content" ObjectID="_1468075726" r:id="rId12">
                  <o:LockedField>false</o:LockedField>
                </o:OLEObject>
              </w:object>
            </w:r>
          </w:p>
          <w:p>
            <w:pPr>
              <w:numPr>
                <w:ilvl w:val="0"/>
                <w:numId w:val="0"/>
              </w:numPr>
              <w:adjustRightInd w:val="0"/>
              <w:snapToGrid w:val="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cs="Times New Roman"/>
                <w:b/>
                <w:color w:val="000000" w:themeColor="text1"/>
                <w:sz w:val="24"/>
                <w:highlight w:val="none"/>
                <w:lang w:val="en-US" w:eastAsia="zh-CN"/>
                <w14:textFill>
                  <w14:solidFill>
                    <w14:schemeClr w14:val="tx1"/>
                  </w14:solidFill>
                </w14:textFill>
              </w:rPr>
              <w:t>②</w:t>
            </w:r>
            <w:r>
              <w:rPr>
                <w:rFonts w:hint="eastAsia" w:cs="Times New Roman"/>
                <w:b/>
                <w:color w:val="000000" w:themeColor="text1"/>
                <w:sz w:val="24"/>
                <w:highlight w:val="none"/>
                <w:lang w:eastAsia="zh-CN"/>
                <w14:textFill>
                  <w14:solidFill>
                    <w14:schemeClr w14:val="tx1"/>
                  </w14:solidFill>
                </w14:textFill>
              </w:rPr>
              <w:t>药物分析检测流程图</w:t>
            </w:r>
          </w:p>
          <w:p>
            <w:pPr>
              <w:adjustRightInd w:val="0"/>
              <w:snapToGrid w:val="0"/>
              <w:spacing w:line="360" w:lineRule="auto"/>
              <w:jc w:val="center"/>
              <w:rPr>
                <w:rFonts w:hint="default" w:ascii="Times New Roman" w:hAnsi="Times New Roman" w:eastAsia="宋体" w:cs="Times New Roman"/>
                <w:color w:val="000000" w:themeColor="text1"/>
                <w:sz w:val="24"/>
                <w:highlight w:val="none"/>
                <w14:textFill>
                  <w14:solidFill>
                    <w14:schemeClr w14:val="tx1"/>
                  </w14:solidFill>
                </w14:textFill>
              </w:rPr>
            </w:pPr>
            <w:r>
              <w:rPr>
                <w:rFonts w:ascii="Times New Roman" w:cs="Times New Roman"/>
                <w:bCs/>
                <w:color w:val="000000" w:themeColor="text1"/>
                <w:highlight w:val="none"/>
                <w14:textFill>
                  <w14:solidFill>
                    <w14:schemeClr w14:val="tx1"/>
                  </w14:solidFill>
                </w14:textFill>
              </w:rPr>
              <w:object>
                <v:shape id="_x0000_i1027" o:spt="75" type="#_x0000_t75" style="height:236.4pt;width:363.25pt;" o:ole="t" filled="f" o:preferrelative="t" stroked="f" coordsize="21600,21600">
                  <v:path/>
                  <v:fill on="f" focussize="0,0"/>
                  <v:stroke on="f"/>
                  <v:imagedata r:id="rId15" o:title=""/>
                  <o:lock v:ext="edit" aspectratio="f"/>
                  <w10:wrap type="none"/>
                  <w10:anchorlock/>
                </v:shape>
                <o:OLEObject Type="Embed" ProgID="Visio.Drawing.11" ShapeID="_x0000_i1027" DrawAspect="Content" ObjectID="_1468075727" r:id="rId14">
                  <o:LockedField>false</o:LockedField>
                </o:OLEObject>
              </w:object>
            </w:r>
          </w:p>
          <w:p>
            <w:pPr>
              <w:adjustRightInd w:val="0"/>
              <w:snapToGrid w:val="0"/>
              <w:spacing w:line="360" w:lineRule="auto"/>
              <w:ind w:firstLine="480" w:firstLineChars="200"/>
              <w:jc w:val="left"/>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注：N-噪声，W-废水</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S-固废</w:t>
            </w:r>
          </w:p>
          <w:p>
            <w:pPr>
              <w:pStyle w:val="13"/>
              <w:spacing w:line="360" w:lineRule="auto"/>
              <w:ind w:firstLine="480" w:firstLineChars="200"/>
              <w:rPr>
                <w:rFonts w:hint="default" w:ascii="Times New Roman" w:hAnsi="Times New Roman" w:eastAsia="宋体" w:cs="Times New Roman"/>
                <w:bCs/>
                <w:color w:val="000000" w:themeColor="text1"/>
                <w:sz w:val="24"/>
                <w:highlight w:val="none"/>
                <w:lang w:eastAsia="zh-TW"/>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1.2</w:t>
            </w:r>
            <w:r>
              <w:rPr>
                <w:rFonts w:hint="eastAsia" w:ascii="Times New Roman" w:hAnsi="Times New Roman" w:cs="Times New Roman"/>
                <w:bCs/>
                <w:color w:val="000000" w:themeColor="text1"/>
                <w:sz w:val="24"/>
                <w:highlight w:val="none"/>
                <w:lang w:val="en-US" w:eastAsia="zh-CN"/>
                <w14:textFill>
                  <w14:solidFill>
                    <w14:schemeClr w14:val="tx1"/>
                  </w14:solidFill>
                </w14:textFill>
              </w:rPr>
              <w:t xml:space="preserve"> </w:t>
            </w:r>
            <w:r>
              <w:rPr>
                <w:rFonts w:hint="default" w:ascii="Times New Roman" w:hAnsi="Times New Roman" w:eastAsia="宋体" w:cs="Times New Roman"/>
                <w:bCs/>
                <w:color w:val="000000" w:themeColor="text1"/>
                <w:sz w:val="24"/>
                <w:highlight w:val="none"/>
                <w14:textFill>
                  <w14:solidFill>
                    <w14:schemeClr w14:val="tx1"/>
                  </w14:solidFill>
                </w14:textFill>
              </w:rPr>
              <w:t>药物制剂实验工艺流程简单说明：</w:t>
            </w:r>
          </w:p>
          <w:p>
            <w:pPr>
              <w:adjustRightInd w:val="0"/>
              <w:snapToGrid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选取炮制好的中药材，无需清洗，用样品粉碎机进行粉碎，即可进入药物提取实验。提取分为水提取法和醇提取法，如下：</w:t>
            </w:r>
          </w:p>
          <w:p>
            <w:pPr>
              <w:adjustRightInd w:val="0"/>
              <w:snapToGrid w:val="0"/>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1</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水提取法</w:t>
            </w:r>
          </w:p>
          <w:p>
            <w:pPr>
              <w:adjustRightInd w:val="0"/>
              <w:snapToGrid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试验前将药材用水浸泡一段时间，再进行</w:t>
            </w:r>
            <w:r>
              <w:rPr>
                <w:rFonts w:hint="eastAsia"/>
                <w:color w:val="000000" w:themeColor="text1"/>
                <w:sz w:val="24"/>
                <w:highlight w:val="none"/>
                <w14:textFill>
                  <w14:solidFill>
                    <w14:schemeClr w14:val="tx1"/>
                  </w14:solidFill>
                </w14:textFill>
              </w:rPr>
              <w:t>水提（</w:t>
            </w:r>
            <w:r>
              <w:rPr>
                <w:color w:val="000000" w:themeColor="text1"/>
                <w:sz w:val="24"/>
                <w:highlight w:val="none"/>
                <w14:textFill>
                  <w14:solidFill>
                    <w14:schemeClr w14:val="tx1"/>
                  </w14:solidFill>
                </w14:textFill>
              </w:rPr>
              <w:t>煎煮</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，对</w:t>
            </w:r>
            <w:r>
              <w:rPr>
                <w:rFonts w:hint="eastAsia"/>
                <w:color w:val="000000" w:themeColor="text1"/>
                <w:sz w:val="24"/>
                <w:highlight w:val="none"/>
                <w14:textFill>
                  <w14:solidFill>
                    <w14:schemeClr w14:val="tx1"/>
                  </w14:solidFill>
                </w14:textFill>
              </w:rPr>
              <w:t>水提</w:t>
            </w:r>
            <w:r>
              <w:rPr>
                <w:color w:val="000000" w:themeColor="text1"/>
                <w:sz w:val="24"/>
                <w:highlight w:val="none"/>
                <w14:textFill>
                  <w14:solidFill>
                    <w14:schemeClr w14:val="tx1"/>
                  </w14:solidFill>
                </w14:textFill>
              </w:rPr>
              <w:t>好的药液进行过滤，并浓缩药液，用水沉方式对浓缩的药液进行二次除杂，然后进行再过滤，浓缩得到浸膏；根据不同剂型的特点，浓缩后的浸膏处理方法不同：浓缩分离后的稠膏可用于制固体药剂或液体药剂。</w:t>
            </w:r>
          </w:p>
          <w:p>
            <w:pPr>
              <w:adjustRightInd w:val="0"/>
              <w:snapToGrid w:val="0"/>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2</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醇提取法</w:t>
            </w:r>
          </w:p>
          <w:p>
            <w:pPr>
              <w:adjustRightInd w:val="0"/>
              <w:snapToGrid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将</w:t>
            </w:r>
            <w:r>
              <w:rPr>
                <w:rFonts w:hint="eastAsia"/>
                <w:color w:val="000000" w:themeColor="text1"/>
                <w:sz w:val="24"/>
                <w:highlight w:val="none"/>
                <w14:textFill>
                  <w14:solidFill>
                    <w14:schemeClr w14:val="tx1"/>
                  </w14:solidFill>
                </w14:textFill>
              </w:rPr>
              <w:t>拣选好的</w:t>
            </w:r>
            <w:r>
              <w:rPr>
                <w:color w:val="000000" w:themeColor="text1"/>
                <w:sz w:val="24"/>
                <w:highlight w:val="none"/>
                <w14:textFill>
                  <w14:solidFill>
                    <w14:schemeClr w14:val="tx1"/>
                  </w14:solidFill>
                </w14:textFill>
              </w:rPr>
              <w:t>药材用乙醇浸渍提取48小时，将乙醇浸渍好的药液进行过滤，浓缩药液，并回收乙醇，用醇沉方式对浓缩的药液进行二次除杂，然后进行再过滤，浓缩得到浸膏，并回收乙醇；根据不同剂型的特点，浓缩后的浸膏处理方法不同：浓缩分离后的浸膏可用于制固体药剂，液体药剂。</w:t>
            </w:r>
          </w:p>
          <w:p>
            <w:pPr>
              <w:adjustRightInd w:val="0"/>
              <w:snapToGrid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该过程会产生提取废气（G3，乙醇以非甲烷总烃计）、药渣（S5）和粉碎废气，由于粉碎机全密闭，且药材用量较少，该废气通过无组织排放，本评价仅定性分析。</w:t>
            </w:r>
          </w:p>
          <w:p>
            <w:pPr>
              <w:adjustRightInd w:val="0"/>
              <w:snapToGrid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过滤得到的乙醇提取液经过旋转蒸发仪进行回收，回收效率约70%，回收乙醇可循环利用，定期补充乙醇即可。</w:t>
            </w:r>
          </w:p>
          <w:p>
            <w:pPr>
              <w:adjustRightInd w:val="0"/>
              <w:snapToGrid w:val="0"/>
              <w:spacing w:line="360" w:lineRule="auto"/>
              <w:ind w:firstLine="480" w:firstLineChars="200"/>
              <w:rPr>
                <w:rFonts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得到不同状态的药物后，</w:t>
            </w:r>
            <w:r>
              <w:rPr>
                <w:rFonts w:ascii="Times New Roman" w:hAnsi="Times New Roman" w:cs="Times New Roman"/>
                <w:color w:val="000000" w:themeColor="text1"/>
                <w:sz w:val="24"/>
                <w:highlight w:val="none"/>
                <w14:textFill>
                  <w14:solidFill>
                    <w14:schemeClr w14:val="tx1"/>
                  </w14:solidFill>
                </w14:textFill>
              </w:rPr>
              <w:t>进行动物实验，根据摄入</w:t>
            </w:r>
            <w:r>
              <w:rPr>
                <w:rFonts w:hint="eastAsia" w:ascii="Times New Roman" w:hAnsi="Times New Roman" w:cs="Times New Roman"/>
                <w:color w:val="000000" w:themeColor="text1"/>
                <w:sz w:val="24"/>
                <w:highlight w:val="none"/>
                <w14:textFill>
                  <w14:solidFill>
                    <w14:schemeClr w14:val="tx1"/>
                  </w14:solidFill>
                </w14:textFill>
              </w:rPr>
              <w:t>的</w:t>
            </w:r>
            <w:r>
              <w:rPr>
                <w:rFonts w:ascii="Times New Roman" w:hAnsi="Times New Roman" w:cs="Times New Roman"/>
                <w:color w:val="000000" w:themeColor="text1"/>
                <w:sz w:val="24"/>
                <w:highlight w:val="none"/>
                <w14:textFill>
                  <w14:solidFill>
                    <w14:schemeClr w14:val="tx1"/>
                  </w14:solidFill>
                </w14:textFill>
              </w:rPr>
              <w:t>药物对动物的治疗效果，得出药物性状对治疗效果的影响。</w:t>
            </w:r>
          </w:p>
          <w:p>
            <w:pPr>
              <w:pStyle w:val="13"/>
              <w:numPr>
                <w:ilvl w:val="0"/>
                <w:numId w:val="0"/>
              </w:numPr>
              <w:rPr>
                <w:rFonts w:hint="default" w:ascii="Times New Roman" w:hAnsi="Times New Roman" w:eastAsia="宋体" w:cs="Times New Roman"/>
                <w:bCs/>
                <w:color w:val="000000" w:themeColor="text1"/>
                <w:sz w:val="24"/>
                <w:highlight w:val="none"/>
                <w:vertAlign w:val="subscript"/>
                <w14:textFill>
                  <w14:solidFill>
                    <w14:schemeClr w14:val="tx1"/>
                  </w14:solidFill>
                </w14:textFill>
              </w:rPr>
            </w:pPr>
            <w:r>
              <w:rPr>
                <w:rFonts w:hint="eastAsia" w:ascii="Times New Roman" w:hAnsi="Times New Roman" w:cs="Times New Roman"/>
                <w:b/>
                <w:color w:val="000000" w:themeColor="text1"/>
                <w:sz w:val="24"/>
                <w:highlight w:val="none"/>
                <w:lang w:val="en-US" w:eastAsia="zh-CN"/>
                <w14:textFill>
                  <w14:solidFill>
                    <w14:schemeClr w14:val="tx1"/>
                  </w14:solidFill>
                </w14:textFill>
              </w:rPr>
              <w:t>③</w:t>
            </w:r>
            <w:r>
              <w:rPr>
                <w:rFonts w:hint="eastAsia" w:ascii="Times New Roman" w:hAnsi="Times New Roman" w:cs="Times New Roman"/>
                <w:b/>
                <w:color w:val="000000" w:themeColor="text1"/>
                <w:sz w:val="24"/>
                <w:highlight w:val="none"/>
                <w:lang w:eastAsia="zh-CN"/>
                <w14:textFill>
                  <w14:solidFill>
                    <w14:schemeClr w14:val="tx1"/>
                  </w14:solidFill>
                </w14:textFill>
              </w:rPr>
              <w:t>制剂实验</w:t>
            </w:r>
            <w:r>
              <w:rPr>
                <w:rFonts w:hint="default" w:ascii="Times New Roman" w:hAnsi="Times New Roman" w:eastAsia="宋体" w:cs="Times New Roman"/>
                <w:b/>
                <w:color w:val="000000" w:themeColor="text1"/>
                <w:sz w:val="24"/>
                <w:highlight w:val="none"/>
                <w14:textFill>
                  <w14:solidFill>
                    <w14:schemeClr w14:val="tx1"/>
                  </w14:solidFill>
                </w14:textFill>
              </w:rPr>
              <w:t>工艺流程</w:t>
            </w:r>
          </w:p>
          <w:p>
            <w:pPr>
              <w:pStyle w:val="13"/>
              <w:spacing w:line="360" w:lineRule="auto"/>
              <w:jc w:val="center"/>
              <w:rPr>
                <w:rFonts w:hint="default" w:ascii="Times New Roman" w:hAnsi="Times New Roman" w:eastAsia="宋体" w:cs="Times New Roman"/>
                <w:color w:val="000000" w:themeColor="text1"/>
                <w:sz w:val="24"/>
                <w:highlight w:val="none"/>
                <w14:textFill>
                  <w14:solidFill>
                    <w14:schemeClr w14:val="tx1"/>
                  </w14:solidFill>
                </w14:textFill>
              </w:rPr>
            </w:pPr>
            <w:r>
              <w:rPr>
                <w:b/>
                <w:color w:val="000000" w:themeColor="text1"/>
                <w:szCs w:val="21"/>
                <w:highlight w:val="none"/>
                <w14:textFill>
                  <w14:solidFill>
                    <w14:schemeClr w14:val="tx1"/>
                  </w14:solidFill>
                </w14:textFill>
              </w:rPr>
              <w:object>
                <v:shape id="_x0000_i1028" o:spt="75" type="#_x0000_t75" style="height:263.2pt;width:325.6pt;" o:ole="t" filled="f" o:preferrelative="t" stroked="f" coordsize="21600,21600">
                  <v:path/>
                  <v:fill on="f" focussize="0,0"/>
                  <v:stroke on="f"/>
                  <v:imagedata r:id="rId17" o:title=""/>
                  <o:lock v:ext="edit" aspectratio="f"/>
                  <w10:wrap type="none"/>
                  <w10:anchorlock/>
                </v:shape>
                <o:OLEObject Type="Embed" ProgID="Visio.Drawing.11" ShapeID="_x0000_i1028" DrawAspect="Content" ObjectID="_1468075728" r:id="rId16">
                  <o:LockedField>false</o:LockedField>
                </o:OLEObject>
              </w:object>
            </w:r>
          </w:p>
          <w:p>
            <w:pPr>
              <w:adjustRightInd w:val="0"/>
              <w:snapToGrid w:val="0"/>
              <w:spacing w:line="360" w:lineRule="auto"/>
              <w:ind w:firstLine="480" w:firstLineChars="200"/>
              <w:jc w:val="left"/>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注：N-噪声，G-废气</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S-固废</w:t>
            </w:r>
          </w:p>
          <w:p>
            <w:pPr>
              <w:pStyle w:val="13"/>
              <w:spacing w:line="360" w:lineRule="auto"/>
              <w:ind w:firstLine="480" w:firstLineChars="200"/>
              <w:rPr>
                <w:rFonts w:hint="default" w:ascii="Times New Roman" w:hAnsi="Times New Roman" w:eastAsia="宋体" w:cs="Times New Roman"/>
                <w:bCs/>
                <w:color w:val="000000" w:themeColor="text1"/>
                <w:sz w:val="24"/>
                <w:highlight w:val="none"/>
                <w:lang w:eastAsia="zh-TW"/>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1.</w:t>
            </w:r>
            <w:r>
              <w:rPr>
                <w:rFonts w:hint="eastAsia" w:ascii="Times New Roman" w:hAnsi="Times New Roman" w:cs="Times New Roman"/>
                <w:bCs/>
                <w:color w:val="000000" w:themeColor="text1"/>
                <w:sz w:val="24"/>
                <w:highlight w:val="none"/>
                <w:lang w:val="en-US" w:eastAsia="zh-CN"/>
                <w14:textFill>
                  <w14:solidFill>
                    <w14:schemeClr w14:val="tx1"/>
                  </w14:solidFill>
                </w14:textFill>
              </w:rPr>
              <w:t xml:space="preserve">3 </w:t>
            </w:r>
            <w:r>
              <w:rPr>
                <w:rFonts w:hint="eastAsia" w:ascii="Times New Roman" w:hAnsi="Times New Roman" w:cs="Times New Roman"/>
                <w:bCs/>
                <w:color w:val="000000" w:themeColor="text1"/>
                <w:sz w:val="24"/>
                <w:highlight w:val="none"/>
                <w:lang w:eastAsia="zh-CN"/>
                <w14:textFill>
                  <w14:solidFill>
                    <w14:schemeClr w14:val="tx1"/>
                  </w14:solidFill>
                </w14:textFill>
              </w:rPr>
              <w:t>纯水制备</w:t>
            </w:r>
            <w:r>
              <w:rPr>
                <w:rFonts w:hint="default" w:ascii="Times New Roman" w:hAnsi="Times New Roman" w:eastAsia="宋体" w:cs="Times New Roman"/>
                <w:bCs/>
                <w:color w:val="000000" w:themeColor="text1"/>
                <w:sz w:val="24"/>
                <w:highlight w:val="none"/>
                <w14:textFill>
                  <w14:solidFill>
                    <w14:schemeClr w14:val="tx1"/>
                  </w14:solidFill>
                </w14:textFill>
              </w:rPr>
              <w:t>工艺流程简单说明：</w:t>
            </w:r>
          </w:p>
          <w:p>
            <w:pPr>
              <w:adjustRightInd w:val="0"/>
              <w:snapToGrid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项目共设置3套纯水系统，生产能力为0.5t/h的纯水制备系统，生产的纯水通过管道输送。纯水制备系统工艺采用二级反渗透。</w:t>
            </w:r>
          </w:p>
          <w:p>
            <w:pPr>
              <w:adjustRightInd w:val="0"/>
              <w:snapToGrid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本项目采用的反渗透膜更换周期为1~2年，该系统具有出水质量高、连续生产、使用方便、不用酸碱、不污染环境、占地面积小、运行经济等一系列优点。更换过程会产生废反渗透膜。</w:t>
            </w:r>
          </w:p>
          <w:p>
            <w:pPr>
              <w:pStyle w:val="13"/>
              <w:numPr>
                <w:ilvl w:val="0"/>
                <w:numId w:val="0"/>
              </w:numPr>
              <w:rPr>
                <w:rFonts w:hint="default" w:ascii="Times New Roman" w:hAnsi="Times New Roman" w:eastAsia="宋体" w:cs="Times New Roman"/>
                <w:bCs/>
                <w:color w:val="000000" w:themeColor="text1"/>
                <w:sz w:val="24"/>
                <w:highlight w:val="none"/>
                <w:vertAlign w:val="subscript"/>
                <w14:textFill>
                  <w14:solidFill>
                    <w14:schemeClr w14:val="tx1"/>
                  </w14:solidFill>
                </w14:textFill>
              </w:rPr>
            </w:pPr>
            <w:r>
              <w:rPr>
                <w:rFonts w:hint="eastAsia" w:ascii="Times New Roman" w:hAnsi="Times New Roman" w:cs="Times New Roman"/>
                <w:b/>
                <w:color w:val="000000" w:themeColor="text1"/>
                <w:sz w:val="24"/>
                <w:highlight w:val="none"/>
                <w:lang w:val="en-US" w:eastAsia="zh-CN"/>
                <w14:textFill>
                  <w14:solidFill>
                    <w14:schemeClr w14:val="tx1"/>
                  </w14:solidFill>
                </w14:textFill>
              </w:rPr>
              <w:t>④</w:t>
            </w:r>
            <w:r>
              <w:rPr>
                <w:rFonts w:hint="eastAsia" w:ascii="Times New Roman" w:hAnsi="Times New Roman" w:cs="Times New Roman"/>
                <w:b/>
                <w:color w:val="000000" w:themeColor="text1"/>
                <w:sz w:val="24"/>
                <w:highlight w:val="none"/>
                <w:lang w:eastAsia="zh-CN"/>
                <w14:textFill>
                  <w14:solidFill>
                    <w14:schemeClr w14:val="tx1"/>
                  </w14:solidFill>
                </w14:textFill>
              </w:rPr>
              <w:t>纯水制备</w:t>
            </w:r>
            <w:r>
              <w:rPr>
                <w:rFonts w:hint="default" w:ascii="Times New Roman" w:hAnsi="Times New Roman" w:eastAsia="宋体" w:cs="Times New Roman"/>
                <w:b/>
                <w:color w:val="000000" w:themeColor="text1"/>
                <w:sz w:val="24"/>
                <w:highlight w:val="none"/>
                <w14:textFill>
                  <w14:solidFill>
                    <w14:schemeClr w14:val="tx1"/>
                  </w14:solidFill>
                </w14:textFill>
              </w:rPr>
              <w:t>工艺流程</w:t>
            </w:r>
          </w:p>
          <w:p>
            <w:pPr>
              <w:pStyle w:val="13"/>
              <w:spacing w:line="360" w:lineRule="auto"/>
              <w:jc w:val="center"/>
              <w:rPr>
                <w:rFonts w:hint="default" w:ascii="Times New Roman" w:hAnsi="Times New Roman" w:eastAsia="宋体" w:cs="Times New Roman"/>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object>
                <v:shape id="_x0000_i1029" o:spt="75" type="#_x0000_t75" style="height:86.7pt;width:290.95pt;" o:ole="t" filled="f" o:preferrelative="t" stroked="f" coordsize="21600,21600">
                  <v:path/>
                  <v:fill on="f" focussize="0,0"/>
                  <v:stroke on="f"/>
                  <v:imagedata r:id="rId19" o:title=""/>
                  <o:lock v:ext="edit" aspectratio="t"/>
                  <w10:wrap type="none"/>
                  <w10:anchorlock/>
                </v:shape>
                <o:OLEObject Type="Embed" ProgID="Visio.Drawing.11" ShapeID="_x0000_i1029" DrawAspect="Content" ObjectID="_1468075729" r:id="rId18">
                  <o:LockedField>false</o:LockedField>
                </o:OLEObject>
              </w:object>
            </w:r>
          </w:p>
          <w:p>
            <w:pPr>
              <w:pStyle w:val="2"/>
              <w:ind w:left="0" w:leftChars="0" w:firstLine="0" w:firstLineChars="0"/>
              <w:rPr>
                <w:rFonts w:hint="default"/>
                <w:color w:val="000000" w:themeColor="text1"/>
                <w:lang w:val="en-US" w:eastAsia="zh-CN"/>
                <w14:textFill>
                  <w14:solidFill>
                    <w14:schemeClr w14:val="tx1"/>
                  </w14:solidFill>
                </w14:textFill>
              </w:rPr>
            </w:pPr>
          </w:p>
          <w:p>
            <w:pPr>
              <w:pStyle w:val="98"/>
              <w:keepNext w:val="0"/>
              <w:keepLines w:val="0"/>
              <w:pageBreakBefore w:val="0"/>
              <w:widowControl w:val="0"/>
              <w:pBdr>
                <w:bottom w:val="single" w:color="auto" w:sz="6" w:space="1"/>
              </w:pBdr>
              <w:kinsoku/>
              <w:wordWrap/>
              <w:overflowPunct/>
              <w:topLinePunct w:val="0"/>
              <w:autoSpaceDE/>
              <w:autoSpaceDN/>
              <w:bidi w:val="0"/>
              <w:adjustRightInd/>
              <w:snapToGrid/>
              <w:spacing w:line="240" w:lineRule="auto"/>
              <w:textAlignment w:val="top"/>
              <w:rPr>
                <w:rFonts w:ascii="Times New Roman"/>
                <w:color w:val="000000" w:themeColor="text1"/>
                <w:sz w:val="18"/>
                <w:szCs w:val="18"/>
                <w14:textFill>
                  <w14:solidFill>
                    <w14:schemeClr w14:val="tx1"/>
                  </w14:solidFill>
                </w14:textFill>
              </w:rPr>
            </w:pPr>
            <w:r>
              <w:rPr>
                <w:rFonts w:ascii="Times New Roman"/>
                <w:color w:val="000000" w:themeColor="text1"/>
                <w:sz w:val="18"/>
                <w:szCs w:val="18"/>
                <w14:textFill>
                  <w14:solidFill>
                    <w14:schemeClr w14:val="tx1"/>
                  </w14:solidFill>
                </w14:textFill>
              </w:rPr>
              <w:t>表</w:t>
            </w:r>
            <w:r>
              <w:rPr>
                <w:rFonts w:hint="eastAsia" w:ascii="Times New Roman"/>
                <w:color w:val="000000" w:themeColor="text1"/>
                <w:sz w:val="18"/>
                <w:szCs w:val="18"/>
                <w14:textFill>
                  <w14:solidFill>
                    <w14:schemeClr w14:val="tx1"/>
                  </w14:solidFill>
                </w14:textFill>
              </w:rPr>
              <w:t>2-</w:t>
            </w:r>
            <w:r>
              <w:rPr>
                <w:rFonts w:hint="eastAsia" w:ascii="Times New Roman"/>
                <w:color w:val="000000" w:themeColor="text1"/>
                <w:sz w:val="18"/>
                <w:szCs w:val="18"/>
                <w:lang w:val="en-US" w:eastAsia="zh-CN"/>
                <w14:textFill>
                  <w14:solidFill>
                    <w14:schemeClr w14:val="tx1"/>
                  </w14:solidFill>
                </w14:textFill>
              </w:rPr>
              <w:t>8</w:t>
            </w:r>
            <w:r>
              <w:rPr>
                <w:rFonts w:ascii="Times New Roman"/>
                <w:color w:val="000000" w:themeColor="text1"/>
                <w:sz w:val="18"/>
                <w:szCs w:val="18"/>
                <w14:textFill>
                  <w14:solidFill>
                    <w14:schemeClr w14:val="tx1"/>
                  </w14:solidFill>
                </w14:textFill>
              </w:rPr>
              <w:t xml:space="preserve">  项目主要污染物来源、排放方式一览表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885"/>
              <w:gridCol w:w="716"/>
              <w:gridCol w:w="1615"/>
              <w:gridCol w:w="4518"/>
              <w:gridCol w:w="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 w:hRule="atLeast"/>
                <w:jc w:val="center"/>
              </w:trPr>
              <w:tc>
                <w:tcPr>
                  <w:tcW w:w="622" w:type="dxa"/>
                  <w:noWrap w:val="0"/>
                  <w:vAlign w:val="center"/>
                </w:tcPr>
                <w:p>
                  <w:pPr>
                    <w:adjustRightInd w:val="0"/>
                    <w:snapToGrid w:val="0"/>
                    <w:spacing w:line="240" w:lineRule="atLeast"/>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时段</w:t>
                  </w:r>
                </w:p>
              </w:tc>
              <w:tc>
                <w:tcPr>
                  <w:tcW w:w="747" w:type="dxa"/>
                  <w:noWrap w:val="0"/>
                  <w:vAlign w:val="center"/>
                </w:tcPr>
                <w:p>
                  <w:pPr>
                    <w:adjustRightInd w:val="0"/>
                    <w:snapToGrid w:val="0"/>
                    <w:spacing w:line="240" w:lineRule="atLeast"/>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污染因子</w:t>
                  </w:r>
                </w:p>
              </w:tc>
              <w:tc>
                <w:tcPr>
                  <w:tcW w:w="1967" w:type="dxa"/>
                  <w:gridSpan w:val="2"/>
                  <w:noWrap w:val="0"/>
                  <w:vAlign w:val="center"/>
                </w:tcPr>
                <w:p>
                  <w:pPr>
                    <w:adjustRightInd w:val="0"/>
                    <w:snapToGrid w:val="0"/>
                    <w:spacing w:line="240" w:lineRule="atLeast"/>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污染物名称</w:t>
                  </w:r>
                </w:p>
              </w:tc>
              <w:tc>
                <w:tcPr>
                  <w:tcW w:w="3813" w:type="dxa"/>
                  <w:noWrap w:val="0"/>
                  <w:vAlign w:val="center"/>
                </w:tcPr>
                <w:p>
                  <w:pPr>
                    <w:adjustRightInd w:val="0"/>
                    <w:snapToGrid w:val="0"/>
                    <w:spacing w:line="240" w:lineRule="atLeast"/>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污染物种类</w:t>
                  </w:r>
                </w:p>
              </w:tc>
              <w:tc>
                <w:tcPr>
                  <w:tcW w:w="786" w:type="dxa"/>
                  <w:noWrap w:val="0"/>
                  <w:vAlign w:val="center"/>
                </w:tcPr>
                <w:p>
                  <w:pPr>
                    <w:adjustRightInd w:val="0"/>
                    <w:snapToGrid w:val="0"/>
                    <w:spacing w:line="240" w:lineRule="atLeast"/>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 w:hRule="atLeast"/>
                <w:jc w:val="center"/>
              </w:trPr>
              <w:tc>
                <w:tcPr>
                  <w:tcW w:w="622" w:type="dxa"/>
                  <w:vMerge w:val="restart"/>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营</w:t>
                  </w:r>
                </w:p>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运</w:t>
                  </w:r>
                </w:p>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期</w:t>
                  </w:r>
                </w:p>
              </w:tc>
              <w:tc>
                <w:tcPr>
                  <w:tcW w:w="747" w:type="dxa"/>
                  <w:vMerge w:val="restart"/>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废水</w:t>
                  </w:r>
                </w:p>
              </w:tc>
              <w:tc>
                <w:tcPr>
                  <w:tcW w:w="604" w:type="dxa"/>
                  <w:vMerge w:val="restart"/>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W1清洗废水</w:t>
                  </w:r>
                </w:p>
              </w:tc>
              <w:tc>
                <w:tcPr>
                  <w:tcW w:w="1363" w:type="dxa"/>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实验服清洗废水</w:t>
                  </w:r>
                </w:p>
              </w:tc>
              <w:tc>
                <w:tcPr>
                  <w:tcW w:w="3813" w:type="dxa"/>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pH、COD</w:t>
                  </w:r>
                  <w:r>
                    <w:rPr>
                      <w:color w:val="000000" w:themeColor="text1"/>
                      <w:sz w:val="21"/>
                      <w:szCs w:val="21"/>
                      <w:highlight w:val="none"/>
                      <w:vertAlign w:val="subscript"/>
                      <w14:textFill>
                        <w14:solidFill>
                          <w14:schemeClr w14:val="tx1"/>
                        </w14:solidFill>
                      </w14:textFill>
                    </w:rPr>
                    <w:t>Cr</w:t>
                  </w:r>
                  <w:r>
                    <w:rPr>
                      <w:color w:val="000000" w:themeColor="text1"/>
                      <w:sz w:val="21"/>
                      <w:szCs w:val="21"/>
                      <w:highlight w:val="none"/>
                      <w14:textFill>
                        <w14:solidFill>
                          <w14:schemeClr w14:val="tx1"/>
                        </w14:solidFill>
                      </w14:textFill>
                    </w:rPr>
                    <w:t>、BOD</w:t>
                  </w:r>
                  <w:r>
                    <w:rPr>
                      <w:color w:val="000000" w:themeColor="text1"/>
                      <w:sz w:val="21"/>
                      <w:szCs w:val="21"/>
                      <w:highlight w:val="none"/>
                      <w:vertAlign w:val="subscript"/>
                      <w14:textFill>
                        <w14:solidFill>
                          <w14:schemeClr w14:val="tx1"/>
                        </w14:solidFill>
                      </w14:textFill>
                    </w:rPr>
                    <w:t>5</w:t>
                  </w:r>
                  <w:r>
                    <w:rPr>
                      <w:color w:val="000000" w:themeColor="text1"/>
                      <w:sz w:val="21"/>
                      <w:szCs w:val="21"/>
                      <w:highlight w:val="none"/>
                      <w14:textFill>
                        <w14:solidFill>
                          <w14:schemeClr w14:val="tx1"/>
                        </w14:solidFill>
                      </w14:textFill>
                    </w:rPr>
                    <w:t>、SS、NH</w:t>
                  </w:r>
                  <w:r>
                    <w:rPr>
                      <w:color w:val="000000" w:themeColor="text1"/>
                      <w:sz w:val="21"/>
                      <w:szCs w:val="21"/>
                      <w:highlight w:val="none"/>
                      <w:vertAlign w:val="subscript"/>
                      <w14:textFill>
                        <w14:solidFill>
                          <w14:schemeClr w14:val="tx1"/>
                        </w14:solidFill>
                      </w14:textFill>
                    </w:rPr>
                    <w:t>3</w:t>
                  </w:r>
                  <w:r>
                    <w:rPr>
                      <w:color w:val="000000" w:themeColor="text1"/>
                      <w:sz w:val="21"/>
                      <w:szCs w:val="21"/>
                      <w:highlight w:val="none"/>
                      <w14:textFill>
                        <w14:solidFill>
                          <w14:schemeClr w14:val="tx1"/>
                        </w14:solidFill>
                      </w14:textFill>
                    </w:rPr>
                    <w:t>-N、TP</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TN</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LAS、粪大肠菌群数、总余氯</w:t>
                  </w:r>
                </w:p>
              </w:tc>
              <w:tc>
                <w:tcPr>
                  <w:tcW w:w="786" w:type="dxa"/>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622" w:type="dxa"/>
                  <w:vMerge w:val="continue"/>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p>
              </w:tc>
              <w:tc>
                <w:tcPr>
                  <w:tcW w:w="747" w:type="dxa"/>
                  <w:vMerge w:val="continue"/>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p>
              </w:tc>
              <w:tc>
                <w:tcPr>
                  <w:tcW w:w="604" w:type="dxa"/>
                  <w:vMerge w:val="continue"/>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p>
              </w:tc>
              <w:tc>
                <w:tcPr>
                  <w:tcW w:w="1363" w:type="dxa"/>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器皿清洗废水</w:t>
                  </w:r>
                </w:p>
              </w:tc>
              <w:tc>
                <w:tcPr>
                  <w:tcW w:w="3813" w:type="dxa"/>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pH、COD</w:t>
                  </w:r>
                  <w:r>
                    <w:rPr>
                      <w:color w:val="000000" w:themeColor="text1"/>
                      <w:sz w:val="21"/>
                      <w:szCs w:val="21"/>
                      <w:highlight w:val="none"/>
                      <w:vertAlign w:val="subscript"/>
                      <w14:textFill>
                        <w14:solidFill>
                          <w14:schemeClr w14:val="tx1"/>
                        </w14:solidFill>
                      </w14:textFill>
                    </w:rPr>
                    <w:t>Cr</w:t>
                  </w:r>
                  <w:r>
                    <w:rPr>
                      <w:color w:val="000000" w:themeColor="text1"/>
                      <w:sz w:val="21"/>
                      <w:szCs w:val="21"/>
                      <w:highlight w:val="none"/>
                      <w14:textFill>
                        <w14:solidFill>
                          <w14:schemeClr w14:val="tx1"/>
                        </w14:solidFill>
                      </w14:textFill>
                    </w:rPr>
                    <w:t>、BOD</w:t>
                  </w:r>
                  <w:r>
                    <w:rPr>
                      <w:color w:val="000000" w:themeColor="text1"/>
                      <w:sz w:val="21"/>
                      <w:szCs w:val="21"/>
                      <w:highlight w:val="none"/>
                      <w:vertAlign w:val="subscript"/>
                      <w14:textFill>
                        <w14:solidFill>
                          <w14:schemeClr w14:val="tx1"/>
                        </w14:solidFill>
                      </w14:textFill>
                    </w:rPr>
                    <w:t>5</w:t>
                  </w:r>
                  <w:r>
                    <w:rPr>
                      <w:color w:val="000000" w:themeColor="text1"/>
                      <w:sz w:val="21"/>
                      <w:szCs w:val="21"/>
                      <w:highlight w:val="none"/>
                      <w14:textFill>
                        <w14:solidFill>
                          <w14:schemeClr w14:val="tx1"/>
                        </w14:solidFill>
                      </w14:textFill>
                    </w:rPr>
                    <w:t>、SS、NH</w:t>
                  </w:r>
                  <w:r>
                    <w:rPr>
                      <w:color w:val="000000" w:themeColor="text1"/>
                      <w:sz w:val="21"/>
                      <w:szCs w:val="21"/>
                      <w:highlight w:val="none"/>
                      <w:vertAlign w:val="subscript"/>
                      <w14:textFill>
                        <w14:solidFill>
                          <w14:schemeClr w14:val="tx1"/>
                        </w14:solidFill>
                      </w14:textFill>
                    </w:rPr>
                    <w:t>3</w:t>
                  </w:r>
                  <w:r>
                    <w:rPr>
                      <w:color w:val="000000" w:themeColor="text1"/>
                      <w:sz w:val="21"/>
                      <w:szCs w:val="21"/>
                      <w:highlight w:val="none"/>
                      <w14:textFill>
                        <w14:solidFill>
                          <w14:schemeClr w14:val="tx1"/>
                        </w14:solidFill>
                      </w14:textFill>
                    </w:rPr>
                    <w:t>-N、总余氯</w:t>
                  </w:r>
                </w:p>
              </w:tc>
              <w:tc>
                <w:tcPr>
                  <w:tcW w:w="786" w:type="dxa"/>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5" w:hRule="atLeast"/>
                <w:jc w:val="center"/>
              </w:trPr>
              <w:tc>
                <w:tcPr>
                  <w:tcW w:w="622" w:type="dxa"/>
                  <w:vMerge w:val="continue"/>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p>
              </w:tc>
              <w:tc>
                <w:tcPr>
                  <w:tcW w:w="747" w:type="dxa"/>
                  <w:vMerge w:val="continue"/>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p>
              </w:tc>
              <w:tc>
                <w:tcPr>
                  <w:tcW w:w="604" w:type="dxa"/>
                  <w:vMerge w:val="continue"/>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p>
              </w:tc>
              <w:tc>
                <w:tcPr>
                  <w:tcW w:w="1363" w:type="dxa"/>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笼具清洗废水</w:t>
                  </w:r>
                </w:p>
              </w:tc>
              <w:tc>
                <w:tcPr>
                  <w:tcW w:w="3813" w:type="dxa"/>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pH、COD</w:t>
                  </w:r>
                  <w:r>
                    <w:rPr>
                      <w:color w:val="000000" w:themeColor="text1"/>
                      <w:sz w:val="21"/>
                      <w:szCs w:val="21"/>
                      <w:highlight w:val="none"/>
                      <w:vertAlign w:val="subscript"/>
                      <w14:textFill>
                        <w14:solidFill>
                          <w14:schemeClr w14:val="tx1"/>
                        </w14:solidFill>
                      </w14:textFill>
                    </w:rPr>
                    <w:t>Cr</w:t>
                  </w:r>
                  <w:r>
                    <w:rPr>
                      <w:color w:val="000000" w:themeColor="text1"/>
                      <w:sz w:val="21"/>
                      <w:szCs w:val="21"/>
                      <w:highlight w:val="none"/>
                      <w14:textFill>
                        <w14:solidFill>
                          <w14:schemeClr w14:val="tx1"/>
                        </w14:solidFill>
                      </w14:textFill>
                    </w:rPr>
                    <w:t>、BOD</w:t>
                  </w:r>
                  <w:r>
                    <w:rPr>
                      <w:color w:val="000000" w:themeColor="text1"/>
                      <w:sz w:val="21"/>
                      <w:szCs w:val="21"/>
                      <w:highlight w:val="none"/>
                      <w:vertAlign w:val="subscript"/>
                      <w14:textFill>
                        <w14:solidFill>
                          <w14:schemeClr w14:val="tx1"/>
                        </w14:solidFill>
                      </w14:textFill>
                    </w:rPr>
                    <w:t>5</w:t>
                  </w:r>
                  <w:r>
                    <w:rPr>
                      <w:color w:val="000000" w:themeColor="text1"/>
                      <w:sz w:val="21"/>
                      <w:szCs w:val="21"/>
                      <w:highlight w:val="none"/>
                      <w14:textFill>
                        <w14:solidFill>
                          <w14:schemeClr w14:val="tx1"/>
                        </w14:solidFill>
                      </w14:textFill>
                    </w:rPr>
                    <w:t>、SS、NH</w:t>
                  </w:r>
                  <w:r>
                    <w:rPr>
                      <w:color w:val="000000" w:themeColor="text1"/>
                      <w:sz w:val="21"/>
                      <w:szCs w:val="21"/>
                      <w:highlight w:val="none"/>
                      <w:vertAlign w:val="subscript"/>
                      <w14:textFill>
                        <w14:solidFill>
                          <w14:schemeClr w14:val="tx1"/>
                        </w14:solidFill>
                      </w14:textFill>
                    </w:rPr>
                    <w:t>3</w:t>
                  </w:r>
                  <w:r>
                    <w:rPr>
                      <w:color w:val="000000" w:themeColor="text1"/>
                      <w:sz w:val="21"/>
                      <w:szCs w:val="21"/>
                      <w:highlight w:val="none"/>
                      <w14:textFill>
                        <w14:solidFill>
                          <w14:schemeClr w14:val="tx1"/>
                        </w14:solidFill>
                      </w14:textFill>
                    </w:rPr>
                    <w:t>-N、TP、LAS、粪大肠菌群数、总余氯</w:t>
                  </w:r>
                </w:p>
              </w:tc>
              <w:tc>
                <w:tcPr>
                  <w:tcW w:w="786" w:type="dxa"/>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 w:hRule="atLeast"/>
                <w:jc w:val="center"/>
              </w:trPr>
              <w:tc>
                <w:tcPr>
                  <w:tcW w:w="622" w:type="dxa"/>
                  <w:vMerge w:val="continue"/>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p>
              </w:tc>
              <w:tc>
                <w:tcPr>
                  <w:tcW w:w="747" w:type="dxa"/>
                  <w:vMerge w:val="continue"/>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p>
              </w:tc>
              <w:tc>
                <w:tcPr>
                  <w:tcW w:w="1967" w:type="dxa"/>
                  <w:gridSpan w:val="2"/>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W2地面拖洗废水</w:t>
                  </w:r>
                </w:p>
              </w:tc>
              <w:tc>
                <w:tcPr>
                  <w:tcW w:w="3813" w:type="dxa"/>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COD</w:t>
                  </w:r>
                  <w:r>
                    <w:rPr>
                      <w:color w:val="000000" w:themeColor="text1"/>
                      <w:sz w:val="21"/>
                      <w:szCs w:val="21"/>
                      <w:highlight w:val="none"/>
                      <w:vertAlign w:val="subscript"/>
                      <w14:textFill>
                        <w14:solidFill>
                          <w14:schemeClr w14:val="tx1"/>
                        </w14:solidFill>
                      </w14:textFill>
                    </w:rPr>
                    <w:t>Cr</w:t>
                  </w:r>
                  <w:r>
                    <w:rPr>
                      <w:color w:val="000000" w:themeColor="text1"/>
                      <w:sz w:val="21"/>
                      <w:szCs w:val="21"/>
                      <w:highlight w:val="none"/>
                      <w14:textFill>
                        <w14:solidFill>
                          <w14:schemeClr w14:val="tx1"/>
                        </w14:solidFill>
                      </w14:textFill>
                    </w:rPr>
                    <w:t>、SS</w:t>
                  </w:r>
                </w:p>
              </w:tc>
              <w:tc>
                <w:tcPr>
                  <w:tcW w:w="786" w:type="dxa"/>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 w:hRule="atLeast"/>
                <w:jc w:val="center"/>
              </w:trPr>
              <w:tc>
                <w:tcPr>
                  <w:tcW w:w="622" w:type="dxa"/>
                  <w:vMerge w:val="continue"/>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p>
              </w:tc>
              <w:tc>
                <w:tcPr>
                  <w:tcW w:w="747" w:type="dxa"/>
                  <w:vMerge w:val="continue"/>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p>
              </w:tc>
              <w:tc>
                <w:tcPr>
                  <w:tcW w:w="1967" w:type="dxa"/>
                  <w:gridSpan w:val="2"/>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纯水制备清下水</w:t>
                  </w:r>
                </w:p>
              </w:tc>
              <w:tc>
                <w:tcPr>
                  <w:tcW w:w="3813" w:type="dxa"/>
                  <w:noWrap w:val="0"/>
                  <w:vAlign w:val="center"/>
                </w:tcPr>
                <w:p>
                  <w:pPr>
                    <w:adjustRightInd w:val="0"/>
                    <w:snapToGrid w:val="0"/>
                    <w:spacing w:line="240" w:lineRule="atLeast"/>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盐分</w:t>
                  </w:r>
                </w:p>
              </w:tc>
              <w:tc>
                <w:tcPr>
                  <w:tcW w:w="786" w:type="dxa"/>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622" w:type="dxa"/>
                  <w:vMerge w:val="continue"/>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p>
              </w:tc>
              <w:tc>
                <w:tcPr>
                  <w:tcW w:w="747" w:type="dxa"/>
                  <w:vMerge w:val="continue"/>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p>
              </w:tc>
              <w:tc>
                <w:tcPr>
                  <w:tcW w:w="1967" w:type="dxa"/>
                  <w:gridSpan w:val="2"/>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生活污水</w:t>
                  </w:r>
                </w:p>
              </w:tc>
              <w:tc>
                <w:tcPr>
                  <w:tcW w:w="3813" w:type="dxa"/>
                  <w:noWrap w:val="0"/>
                  <w:vAlign w:val="center"/>
                </w:tcPr>
                <w:p>
                  <w:pPr>
                    <w:adjustRightInd w:val="0"/>
                    <w:snapToGrid w:val="0"/>
                    <w:spacing w:line="240" w:lineRule="atLeast"/>
                    <w:jc w:val="center"/>
                    <w:rPr>
                      <w:color w:val="000000" w:themeColor="text1"/>
                      <w:kern w:val="0"/>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pH、COD</w:t>
                  </w:r>
                  <w:r>
                    <w:rPr>
                      <w:color w:val="000000" w:themeColor="text1"/>
                      <w:sz w:val="21"/>
                      <w:szCs w:val="21"/>
                      <w:highlight w:val="none"/>
                      <w:vertAlign w:val="subscript"/>
                      <w14:textFill>
                        <w14:solidFill>
                          <w14:schemeClr w14:val="tx1"/>
                        </w14:solidFill>
                      </w14:textFill>
                    </w:rPr>
                    <w:t>Cr</w:t>
                  </w:r>
                  <w:r>
                    <w:rPr>
                      <w:color w:val="000000" w:themeColor="text1"/>
                      <w:sz w:val="21"/>
                      <w:szCs w:val="21"/>
                      <w:highlight w:val="none"/>
                      <w14:textFill>
                        <w14:solidFill>
                          <w14:schemeClr w14:val="tx1"/>
                        </w14:solidFill>
                      </w14:textFill>
                    </w:rPr>
                    <w:t>、BOD</w:t>
                  </w:r>
                  <w:r>
                    <w:rPr>
                      <w:color w:val="000000" w:themeColor="text1"/>
                      <w:sz w:val="21"/>
                      <w:szCs w:val="21"/>
                      <w:highlight w:val="none"/>
                      <w:vertAlign w:val="subscript"/>
                      <w14:textFill>
                        <w14:solidFill>
                          <w14:schemeClr w14:val="tx1"/>
                        </w14:solidFill>
                      </w14:textFill>
                    </w:rPr>
                    <w:t>5</w:t>
                  </w:r>
                  <w:r>
                    <w:rPr>
                      <w:color w:val="000000" w:themeColor="text1"/>
                      <w:sz w:val="21"/>
                      <w:szCs w:val="21"/>
                      <w:highlight w:val="none"/>
                      <w14:textFill>
                        <w14:solidFill>
                          <w14:schemeClr w14:val="tx1"/>
                        </w14:solidFill>
                      </w14:textFill>
                    </w:rPr>
                    <w:t>、SS、NH</w:t>
                  </w:r>
                  <w:r>
                    <w:rPr>
                      <w:color w:val="000000" w:themeColor="text1"/>
                      <w:sz w:val="21"/>
                      <w:szCs w:val="21"/>
                      <w:highlight w:val="none"/>
                      <w:vertAlign w:val="subscript"/>
                      <w14:textFill>
                        <w14:solidFill>
                          <w14:schemeClr w14:val="tx1"/>
                        </w14:solidFill>
                      </w14:textFill>
                    </w:rPr>
                    <w:t>3</w:t>
                  </w:r>
                  <w:r>
                    <w:rPr>
                      <w:color w:val="000000" w:themeColor="text1"/>
                      <w:sz w:val="21"/>
                      <w:szCs w:val="21"/>
                      <w:highlight w:val="none"/>
                      <w14:textFill>
                        <w14:solidFill>
                          <w14:schemeClr w14:val="tx1"/>
                        </w14:solidFill>
                      </w14:textFill>
                    </w:rPr>
                    <w:t>-N、TP</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TN</w:t>
                  </w:r>
                </w:p>
              </w:tc>
              <w:tc>
                <w:tcPr>
                  <w:tcW w:w="786" w:type="dxa"/>
                  <w:noWrap w:val="0"/>
                  <w:vAlign w:val="center"/>
                </w:tcPr>
                <w:p>
                  <w:pPr>
                    <w:adjustRightInd w:val="0"/>
                    <w:snapToGrid w:val="0"/>
                    <w:spacing w:line="240" w:lineRule="atLeast"/>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22" w:type="dxa"/>
                  <w:vMerge w:val="continue"/>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p>
              </w:tc>
              <w:tc>
                <w:tcPr>
                  <w:tcW w:w="747" w:type="dxa"/>
                  <w:vMerge w:val="restart"/>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废气</w:t>
                  </w:r>
                </w:p>
              </w:tc>
              <w:tc>
                <w:tcPr>
                  <w:tcW w:w="1967" w:type="dxa"/>
                  <w:gridSpan w:val="2"/>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动物恶臭（G1）</w:t>
                  </w:r>
                </w:p>
              </w:tc>
              <w:tc>
                <w:tcPr>
                  <w:tcW w:w="3813" w:type="dxa"/>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NH</w:t>
                  </w:r>
                  <w:r>
                    <w:rPr>
                      <w:color w:val="000000" w:themeColor="text1"/>
                      <w:sz w:val="21"/>
                      <w:szCs w:val="21"/>
                      <w:highlight w:val="none"/>
                      <w:vertAlign w:val="subscript"/>
                      <w14:textFill>
                        <w14:solidFill>
                          <w14:schemeClr w14:val="tx1"/>
                        </w14:solidFill>
                      </w14:textFill>
                    </w:rPr>
                    <w:t>3</w:t>
                  </w:r>
                  <w:r>
                    <w:rPr>
                      <w:color w:val="000000" w:themeColor="text1"/>
                      <w:sz w:val="21"/>
                      <w:szCs w:val="21"/>
                      <w:highlight w:val="none"/>
                      <w14:textFill>
                        <w14:solidFill>
                          <w14:schemeClr w14:val="tx1"/>
                        </w14:solidFill>
                      </w14:textFill>
                    </w:rPr>
                    <w:t>、H</w:t>
                  </w:r>
                  <w:r>
                    <w:rPr>
                      <w:color w:val="000000" w:themeColor="text1"/>
                      <w:sz w:val="21"/>
                      <w:szCs w:val="21"/>
                      <w:highlight w:val="none"/>
                      <w:vertAlign w:val="subscript"/>
                      <w14:textFill>
                        <w14:solidFill>
                          <w14:schemeClr w14:val="tx1"/>
                        </w14:solidFill>
                      </w14:textFill>
                    </w:rPr>
                    <w:t>2</w:t>
                  </w:r>
                  <w:r>
                    <w:rPr>
                      <w:color w:val="000000" w:themeColor="text1"/>
                      <w:sz w:val="21"/>
                      <w:szCs w:val="21"/>
                      <w:highlight w:val="none"/>
                      <w14:textFill>
                        <w14:solidFill>
                          <w14:schemeClr w14:val="tx1"/>
                        </w14:solidFill>
                      </w14:textFill>
                    </w:rPr>
                    <w:t>S、臭气浓度</w:t>
                  </w:r>
                </w:p>
              </w:tc>
              <w:tc>
                <w:tcPr>
                  <w:tcW w:w="786" w:type="dxa"/>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 w:hRule="atLeast"/>
                <w:jc w:val="center"/>
              </w:trPr>
              <w:tc>
                <w:tcPr>
                  <w:tcW w:w="622" w:type="dxa"/>
                  <w:vMerge w:val="continue"/>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p>
              </w:tc>
              <w:tc>
                <w:tcPr>
                  <w:tcW w:w="747" w:type="dxa"/>
                  <w:vMerge w:val="continue"/>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p>
              </w:tc>
              <w:tc>
                <w:tcPr>
                  <w:tcW w:w="1967" w:type="dxa"/>
                  <w:gridSpan w:val="2"/>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前处理</w:t>
                  </w:r>
                  <w:r>
                    <w:rPr>
                      <w:color w:val="000000" w:themeColor="text1"/>
                      <w:sz w:val="21"/>
                      <w:szCs w:val="21"/>
                      <w:highlight w:val="none"/>
                      <w14:textFill>
                        <w14:solidFill>
                          <w14:schemeClr w14:val="tx1"/>
                        </w14:solidFill>
                      </w14:textFill>
                    </w:rPr>
                    <w:t>废气（G2）</w:t>
                  </w:r>
                </w:p>
              </w:tc>
              <w:tc>
                <w:tcPr>
                  <w:tcW w:w="3813" w:type="dxa"/>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非甲烷总烃、苯、甲醇、硫酸雾、NOx、HCl</w:t>
                  </w:r>
                </w:p>
              </w:tc>
              <w:tc>
                <w:tcPr>
                  <w:tcW w:w="786" w:type="dxa"/>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 w:hRule="atLeast"/>
                <w:jc w:val="center"/>
              </w:trPr>
              <w:tc>
                <w:tcPr>
                  <w:tcW w:w="622" w:type="dxa"/>
                  <w:vMerge w:val="continue"/>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p>
              </w:tc>
              <w:tc>
                <w:tcPr>
                  <w:tcW w:w="747" w:type="dxa"/>
                  <w:vMerge w:val="continue"/>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p>
              </w:tc>
              <w:tc>
                <w:tcPr>
                  <w:tcW w:w="1967" w:type="dxa"/>
                  <w:gridSpan w:val="2"/>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提取废气（G3）</w:t>
                  </w:r>
                </w:p>
              </w:tc>
              <w:tc>
                <w:tcPr>
                  <w:tcW w:w="3813" w:type="dxa"/>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VOCs（乙醇）以非甲烷总烃计</w:t>
                  </w:r>
                </w:p>
              </w:tc>
              <w:tc>
                <w:tcPr>
                  <w:tcW w:w="786" w:type="dxa"/>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 w:hRule="atLeast"/>
                <w:jc w:val="center"/>
              </w:trPr>
              <w:tc>
                <w:tcPr>
                  <w:tcW w:w="622" w:type="dxa"/>
                  <w:vMerge w:val="continue"/>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p>
              </w:tc>
              <w:tc>
                <w:tcPr>
                  <w:tcW w:w="747" w:type="dxa"/>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噪声</w:t>
                  </w:r>
                </w:p>
              </w:tc>
              <w:tc>
                <w:tcPr>
                  <w:tcW w:w="1967" w:type="dxa"/>
                  <w:gridSpan w:val="2"/>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风机噪声（N）</w:t>
                  </w:r>
                </w:p>
              </w:tc>
              <w:tc>
                <w:tcPr>
                  <w:tcW w:w="3813" w:type="dxa"/>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kern w:val="21"/>
                      <w:sz w:val="21"/>
                      <w:szCs w:val="21"/>
                      <w:highlight w:val="none"/>
                      <w14:textFill>
                        <w14:solidFill>
                          <w14:schemeClr w14:val="tx1"/>
                        </w14:solidFill>
                      </w14:textFill>
                    </w:rPr>
                    <w:t>等效A声级</w:t>
                  </w:r>
                </w:p>
              </w:tc>
              <w:tc>
                <w:tcPr>
                  <w:tcW w:w="786" w:type="dxa"/>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 w:hRule="atLeast"/>
                <w:jc w:val="center"/>
              </w:trPr>
              <w:tc>
                <w:tcPr>
                  <w:tcW w:w="622" w:type="dxa"/>
                  <w:vMerge w:val="continue"/>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p>
              </w:tc>
              <w:tc>
                <w:tcPr>
                  <w:tcW w:w="747" w:type="dxa"/>
                  <w:vMerge w:val="restart"/>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固废</w:t>
                  </w:r>
                </w:p>
              </w:tc>
              <w:tc>
                <w:tcPr>
                  <w:tcW w:w="1967" w:type="dxa"/>
                  <w:gridSpan w:val="2"/>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饲养废弃物（S1）</w:t>
                  </w:r>
                </w:p>
              </w:tc>
              <w:tc>
                <w:tcPr>
                  <w:tcW w:w="3813" w:type="dxa"/>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废饲料、废垫料（包含粪便等）</w:t>
                  </w:r>
                </w:p>
              </w:tc>
              <w:tc>
                <w:tcPr>
                  <w:tcW w:w="786" w:type="dxa"/>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 w:hRule="atLeast"/>
                <w:jc w:val="center"/>
              </w:trPr>
              <w:tc>
                <w:tcPr>
                  <w:tcW w:w="622" w:type="dxa"/>
                  <w:vMerge w:val="continue"/>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p>
              </w:tc>
              <w:tc>
                <w:tcPr>
                  <w:tcW w:w="747" w:type="dxa"/>
                  <w:vMerge w:val="continue"/>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p>
              </w:tc>
              <w:tc>
                <w:tcPr>
                  <w:tcW w:w="1967" w:type="dxa"/>
                  <w:gridSpan w:val="2"/>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实验废弃物（S2）</w:t>
                  </w:r>
                </w:p>
              </w:tc>
              <w:tc>
                <w:tcPr>
                  <w:tcW w:w="3813" w:type="dxa"/>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废手套、废器皿、废空瓶、废注射器、废消毒包装物</w:t>
                  </w:r>
                  <w:r>
                    <w:rPr>
                      <w:rFonts w:hint="eastAsia"/>
                      <w:color w:val="000000" w:themeColor="text1"/>
                      <w:sz w:val="21"/>
                      <w:szCs w:val="21"/>
                      <w:highlight w:val="none"/>
                      <w14:textFill>
                        <w14:solidFill>
                          <w14:schemeClr w14:val="tx1"/>
                        </w14:solidFill>
                      </w14:textFill>
                    </w:rPr>
                    <w:t>、废液</w:t>
                  </w:r>
                </w:p>
              </w:tc>
              <w:tc>
                <w:tcPr>
                  <w:tcW w:w="786" w:type="dxa"/>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 w:hRule="atLeast"/>
                <w:jc w:val="center"/>
              </w:trPr>
              <w:tc>
                <w:tcPr>
                  <w:tcW w:w="622" w:type="dxa"/>
                  <w:vMerge w:val="continue"/>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p>
              </w:tc>
              <w:tc>
                <w:tcPr>
                  <w:tcW w:w="747" w:type="dxa"/>
                  <w:vMerge w:val="continue"/>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p>
              </w:tc>
              <w:tc>
                <w:tcPr>
                  <w:tcW w:w="1967" w:type="dxa"/>
                  <w:gridSpan w:val="2"/>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实验动物尸体（S3）</w:t>
                  </w:r>
                </w:p>
              </w:tc>
              <w:tc>
                <w:tcPr>
                  <w:tcW w:w="3813" w:type="dxa"/>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正常动物尸体、病死动物尸体、药物实验致死动物尸体</w:t>
                  </w:r>
                </w:p>
              </w:tc>
              <w:tc>
                <w:tcPr>
                  <w:tcW w:w="786" w:type="dxa"/>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 w:hRule="atLeast"/>
                <w:jc w:val="center"/>
              </w:trPr>
              <w:tc>
                <w:tcPr>
                  <w:tcW w:w="622" w:type="dxa"/>
                  <w:vMerge w:val="continue"/>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p>
              </w:tc>
              <w:tc>
                <w:tcPr>
                  <w:tcW w:w="747" w:type="dxa"/>
                  <w:vMerge w:val="continue"/>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p>
              </w:tc>
              <w:tc>
                <w:tcPr>
                  <w:tcW w:w="1967" w:type="dxa"/>
                  <w:gridSpan w:val="2"/>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制剂残渣（S4）</w:t>
                  </w:r>
                </w:p>
              </w:tc>
              <w:tc>
                <w:tcPr>
                  <w:tcW w:w="3813" w:type="dxa"/>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药渣</w:t>
                  </w:r>
                </w:p>
              </w:tc>
              <w:tc>
                <w:tcPr>
                  <w:tcW w:w="786" w:type="dxa"/>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22" w:type="dxa"/>
                  <w:vMerge w:val="continue"/>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p>
              </w:tc>
              <w:tc>
                <w:tcPr>
                  <w:tcW w:w="747" w:type="dxa"/>
                  <w:vMerge w:val="continue"/>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p>
              </w:tc>
              <w:tc>
                <w:tcPr>
                  <w:tcW w:w="1967" w:type="dxa"/>
                  <w:gridSpan w:val="2"/>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纯水制备</w:t>
                  </w:r>
                </w:p>
              </w:tc>
              <w:tc>
                <w:tcPr>
                  <w:tcW w:w="3813" w:type="dxa"/>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废反渗透膜</w:t>
                  </w:r>
                </w:p>
              </w:tc>
              <w:tc>
                <w:tcPr>
                  <w:tcW w:w="786" w:type="dxa"/>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 w:hRule="atLeast"/>
                <w:jc w:val="center"/>
              </w:trPr>
              <w:tc>
                <w:tcPr>
                  <w:tcW w:w="622" w:type="dxa"/>
                  <w:vMerge w:val="continue"/>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p>
              </w:tc>
              <w:tc>
                <w:tcPr>
                  <w:tcW w:w="747" w:type="dxa"/>
                  <w:vMerge w:val="continue"/>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p>
              </w:tc>
              <w:tc>
                <w:tcPr>
                  <w:tcW w:w="1967" w:type="dxa"/>
                  <w:gridSpan w:val="2"/>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生活垃圾</w:t>
                  </w:r>
                </w:p>
              </w:tc>
              <w:tc>
                <w:tcPr>
                  <w:tcW w:w="3813" w:type="dxa"/>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纸</w:t>
                  </w:r>
                  <w:r>
                    <w:rPr>
                      <w:rFonts w:hint="eastAsia"/>
                      <w:color w:val="000000" w:themeColor="text1"/>
                      <w:sz w:val="21"/>
                      <w:szCs w:val="21"/>
                      <w:highlight w:val="none"/>
                      <w14:textFill>
                        <w14:solidFill>
                          <w14:schemeClr w14:val="tx1"/>
                        </w14:solidFill>
                      </w14:textFill>
                    </w:rPr>
                    <w:t>、塑料袋、果皮等</w:t>
                  </w:r>
                </w:p>
              </w:tc>
              <w:tc>
                <w:tcPr>
                  <w:tcW w:w="786" w:type="dxa"/>
                  <w:noWrap w:val="0"/>
                  <w:vAlign w:val="center"/>
                </w:tcPr>
                <w:p>
                  <w:pPr>
                    <w:adjustRightInd w:val="0"/>
                    <w:snapToGrid w:val="0"/>
                    <w:spacing w:line="240" w:lineRule="atLeas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间断</w:t>
                  </w:r>
                </w:p>
              </w:tc>
            </w:tr>
          </w:tbl>
          <w:p>
            <w:pPr>
              <w:spacing w:line="360" w:lineRule="auto"/>
              <w:jc w:val="left"/>
              <w:rPr>
                <w:color w:val="000000" w:themeColor="text1"/>
                <w:kern w:val="0"/>
                <w:sz w:val="24"/>
                <w:szCs w:val="24"/>
                <w14:textFill>
                  <w14:solidFill>
                    <w14:schemeClr w14:val="tx1"/>
                  </w14:solidFill>
                </w14:textFill>
              </w:rPr>
            </w:pPr>
            <w:r>
              <w:rPr>
                <w:rFonts w:hint="eastAsia"/>
                <w:b/>
                <w:color w:val="000000" w:themeColor="text1"/>
                <w:kern w:val="0"/>
                <w:sz w:val="24"/>
                <w:szCs w:val="24"/>
                <w14:textFill>
                  <w14:solidFill>
                    <w14:schemeClr w14:val="tx1"/>
                  </w14:solidFill>
                </w14:textFill>
              </w:rPr>
              <w:t>2.</w:t>
            </w:r>
            <w:r>
              <w:rPr>
                <w:b/>
                <w:color w:val="000000" w:themeColor="text1"/>
                <w:kern w:val="0"/>
                <w:sz w:val="24"/>
                <w:szCs w:val="24"/>
                <w14:textFill>
                  <w14:solidFill>
                    <w14:schemeClr w14:val="tx1"/>
                  </w14:solidFill>
                </w14:textFill>
              </w:rPr>
              <w:t>7</w:t>
            </w:r>
            <w:r>
              <w:rPr>
                <w:rFonts w:hint="eastAsia"/>
                <w:b/>
                <w:color w:val="000000" w:themeColor="text1"/>
                <w:kern w:val="0"/>
                <w:sz w:val="24"/>
                <w:szCs w:val="24"/>
                <w14:textFill>
                  <w14:solidFill>
                    <w14:schemeClr w14:val="tx1"/>
                  </w14:solidFill>
                </w14:textFill>
              </w:rPr>
              <w:t xml:space="preserve"> 项目变更情况说明</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根据中华人民共和国生态环境部办公厅发布的《污染影响类建设项目重大变动清单（试行）》（环办环评函[2020]688号），对本次变动进行判定，判定结果见下表：</w:t>
            </w:r>
          </w:p>
          <w:p>
            <w:pPr>
              <w:jc w:val="center"/>
              <w:rPr>
                <w:rFonts w:ascii="Times New Roman" w:hAnsi="Times New Roman" w:cs="Times New Roman"/>
                <w:b/>
                <w:color w:val="000000" w:themeColor="text1"/>
                <w:spacing w:val="4"/>
                <w:sz w:val="18"/>
                <w:szCs w:val="18"/>
                <w14:textFill>
                  <w14:solidFill>
                    <w14:schemeClr w14:val="tx1"/>
                  </w14:solidFill>
                </w14:textFill>
              </w:rPr>
            </w:pPr>
            <w:r>
              <w:rPr>
                <w:rFonts w:hint="eastAsia" w:ascii="Times New Roman" w:hAnsi="Times New Roman" w:cs="Times New Roman"/>
                <w:b/>
                <w:color w:val="000000" w:themeColor="text1"/>
                <w:spacing w:val="4"/>
                <w:sz w:val="18"/>
                <w:szCs w:val="18"/>
                <w14:textFill>
                  <w14:solidFill>
                    <w14:schemeClr w14:val="tx1"/>
                  </w14:solidFill>
                </w14:textFill>
              </w:rPr>
              <w:t>表2</w:t>
            </w:r>
            <w:r>
              <w:rPr>
                <w:rFonts w:hint="eastAsia" w:cs="Times New Roman"/>
                <w:b/>
                <w:color w:val="000000" w:themeColor="text1"/>
                <w:spacing w:val="4"/>
                <w:sz w:val="18"/>
                <w:szCs w:val="18"/>
                <w:lang w:val="en-US" w:eastAsia="zh-CN"/>
                <w14:textFill>
                  <w14:solidFill>
                    <w14:schemeClr w14:val="tx1"/>
                  </w14:solidFill>
                </w14:textFill>
              </w:rPr>
              <w:t>-9</w:t>
            </w:r>
            <w:r>
              <w:rPr>
                <w:rFonts w:hint="eastAsia" w:ascii="Times New Roman" w:hAnsi="Times New Roman" w:cs="Times New Roman"/>
                <w:b/>
                <w:color w:val="000000" w:themeColor="text1"/>
                <w:spacing w:val="4"/>
                <w:sz w:val="18"/>
                <w:szCs w:val="18"/>
                <w14:textFill>
                  <w14:solidFill>
                    <w14:schemeClr w14:val="tx1"/>
                  </w14:solidFill>
                </w14:textFill>
              </w:rPr>
              <w:t xml:space="preserve"> 项目变更情形对比表</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5432"/>
              <w:gridCol w:w="2412"/>
              <w:gridCol w:w="8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项目</w:t>
                  </w:r>
                </w:p>
              </w:tc>
              <w:tc>
                <w:tcPr>
                  <w:tcW w:w="2885"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重大变动情形</w:t>
                  </w:r>
                </w:p>
              </w:tc>
              <w:tc>
                <w:tcPr>
                  <w:tcW w:w="1281"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项目情况</w:t>
                  </w:r>
                </w:p>
              </w:tc>
              <w:tc>
                <w:tcPr>
                  <w:tcW w:w="439"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是否重大变更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 w:hRule="atLeast"/>
              </w:trPr>
              <w:tc>
                <w:tcPr>
                  <w:tcW w:w="394"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性质</w:t>
                  </w:r>
                </w:p>
              </w:tc>
              <w:tc>
                <w:tcPr>
                  <w:tcW w:w="2885"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1.建设项目开发、使用功能发生变化的。</w:t>
                  </w:r>
                </w:p>
              </w:tc>
              <w:tc>
                <w:tcPr>
                  <w:tcW w:w="1281"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无变化</w:t>
                  </w:r>
                </w:p>
              </w:tc>
              <w:tc>
                <w:tcPr>
                  <w:tcW w:w="439"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Merge w:val="restar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规模</w:t>
                  </w:r>
                </w:p>
              </w:tc>
              <w:tc>
                <w:tcPr>
                  <w:tcW w:w="2885"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2.生产、处置或储存能力增大30%及以上的。</w:t>
                  </w:r>
                </w:p>
              </w:tc>
              <w:tc>
                <w:tcPr>
                  <w:tcW w:w="1281"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无变化</w:t>
                  </w:r>
                </w:p>
              </w:tc>
              <w:tc>
                <w:tcPr>
                  <w:tcW w:w="439"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Merge w:val="continue"/>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2885"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3.生产、处置或储存能力增大，导致废水第一类污染物排放量增加的。</w:t>
                  </w:r>
                </w:p>
              </w:tc>
              <w:tc>
                <w:tcPr>
                  <w:tcW w:w="1281"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无变化</w:t>
                  </w:r>
                </w:p>
              </w:tc>
              <w:tc>
                <w:tcPr>
                  <w:tcW w:w="439"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Merge w:val="continue"/>
                  <w:vAlign w:val="center"/>
                </w:tcPr>
                <w:p>
                  <w:pPr>
                    <w:tabs>
                      <w:tab w:val="center" w:pos="4153"/>
                      <w:tab w:val="right" w:pos="8306"/>
                    </w:tabs>
                    <w:jc w:val="center"/>
                    <w:rPr>
                      <w:b w:val="0"/>
                      <w:bCs w:val="0"/>
                      <w:color w:val="000000" w:themeColor="text1"/>
                      <w:kern w:val="24"/>
                      <w:sz w:val="18"/>
                      <w:szCs w:val="18"/>
                      <w14:textFill>
                        <w14:solidFill>
                          <w14:schemeClr w14:val="tx1"/>
                        </w14:solidFill>
                      </w14:textFill>
                    </w:rPr>
                  </w:pPr>
                </w:p>
              </w:tc>
              <w:tc>
                <w:tcPr>
                  <w:tcW w:w="2885"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1281"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无变化</w:t>
                  </w:r>
                </w:p>
              </w:tc>
              <w:tc>
                <w:tcPr>
                  <w:tcW w:w="439"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地点</w:t>
                  </w:r>
                </w:p>
              </w:tc>
              <w:tc>
                <w:tcPr>
                  <w:tcW w:w="2885"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5.重新选址；在原厂址附近调整（包括总平面布置变化）导致环境防护距离范围变化且新增敏感点的。</w:t>
                  </w:r>
                </w:p>
              </w:tc>
              <w:tc>
                <w:tcPr>
                  <w:tcW w:w="1281"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无变化</w:t>
                  </w:r>
                </w:p>
              </w:tc>
              <w:tc>
                <w:tcPr>
                  <w:tcW w:w="439"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394" w:type="pct"/>
                  <w:vMerge w:val="restar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生产工艺</w:t>
                  </w:r>
                </w:p>
              </w:tc>
              <w:tc>
                <w:tcPr>
                  <w:tcW w:w="2885"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6.新增产品品种或生产工艺（含主要生产装置、设备及配套设施）、主要原辅材料、燃料变化，导致以下情形之一：(1)新增排放污染物种类的（毒性、挥发性降低的除外）；(2)位于环境质量不达标区的建设项目相应污染物排放量增加的；(3)废水第一类污染物排放量增加的；(4)其他污染物排放量增加10%及以上的。</w:t>
                  </w:r>
                </w:p>
              </w:tc>
              <w:tc>
                <w:tcPr>
                  <w:tcW w:w="1281"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无变化</w:t>
                  </w:r>
                </w:p>
              </w:tc>
              <w:tc>
                <w:tcPr>
                  <w:tcW w:w="439"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Merge w:val="continue"/>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2885"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7.物料运输、装卸、贮存方式变化，导致大气污染物无组织排放量增加10%及以上的。</w:t>
                  </w:r>
                </w:p>
              </w:tc>
              <w:tc>
                <w:tcPr>
                  <w:tcW w:w="1281"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无变化</w:t>
                  </w:r>
                </w:p>
              </w:tc>
              <w:tc>
                <w:tcPr>
                  <w:tcW w:w="439"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Merge w:val="restar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环境保护措施</w:t>
                  </w:r>
                </w:p>
              </w:tc>
              <w:tc>
                <w:tcPr>
                  <w:tcW w:w="2885"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8.废气、废水污染防治措施变化，导致第6条中所列情形之一（废气无组织排放改为有组织排放、污染防治措施强化或改进的除外）或大气污染物无组织排放量增加10%及以上的。</w:t>
                  </w:r>
                </w:p>
              </w:tc>
              <w:tc>
                <w:tcPr>
                  <w:tcW w:w="1281"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无变化</w:t>
                  </w:r>
                </w:p>
              </w:tc>
              <w:tc>
                <w:tcPr>
                  <w:tcW w:w="439"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Merge w:val="continue"/>
                  <w:vAlign w:val="center"/>
                </w:tcPr>
                <w:p>
                  <w:pPr>
                    <w:tabs>
                      <w:tab w:val="center" w:pos="4153"/>
                      <w:tab w:val="right" w:pos="8306"/>
                    </w:tabs>
                    <w:jc w:val="center"/>
                    <w:rPr>
                      <w:b w:val="0"/>
                      <w:bCs w:val="0"/>
                      <w:color w:val="000000" w:themeColor="text1"/>
                      <w:sz w:val="18"/>
                      <w:szCs w:val="18"/>
                      <w14:textFill>
                        <w14:solidFill>
                          <w14:schemeClr w14:val="tx1"/>
                        </w14:solidFill>
                      </w14:textFill>
                    </w:rPr>
                  </w:pPr>
                </w:p>
              </w:tc>
              <w:tc>
                <w:tcPr>
                  <w:tcW w:w="2885"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9.新增废水直接排放口；废水由间接排放改为直接排放；废水直接排放口位置变化，导致不利环境影响加重的。</w:t>
                  </w:r>
                </w:p>
              </w:tc>
              <w:tc>
                <w:tcPr>
                  <w:tcW w:w="1281"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无变化</w:t>
                  </w:r>
                </w:p>
              </w:tc>
              <w:tc>
                <w:tcPr>
                  <w:tcW w:w="439"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Merge w:val="continue"/>
                  <w:vAlign w:val="center"/>
                </w:tcPr>
                <w:p>
                  <w:pPr>
                    <w:tabs>
                      <w:tab w:val="center" w:pos="4153"/>
                      <w:tab w:val="right" w:pos="8306"/>
                    </w:tabs>
                    <w:jc w:val="center"/>
                    <w:rPr>
                      <w:b w:val="0"/>
                      <w:bCs w:val="0"/>
                      <w:color w:val="000000" w:themeColor="text1"/>
                      <w:sz w:val="18"/>
                      <w:szCs w:val="18"/>
                      <w14:textFill>
                        <w14:solidFill>
                          <w14:schemeClr w14:val="tx1"/>
                        </w14:solidFill>
                      </w14:textFill>
                    </w:rPr>
                  </w:pPr>
                </w:p>
              </w:tc>
              <w:tc>
                <w:tcPr>
                  <w:tcW w:w="2885"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10.新增废气主要排放口（废气无组织排放改为有组织排放的除外）；主要排放口排气筒高度降低10%及以上的。</w:t>
                  </w:r>
                </w:p>
              </w:tc>
              <w:tc>
                <w:tcPr>
                  <w:tcW w:w="1281"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本项目废气排放口由63m增加为70m，未导致排气筒高度降低</w:t>
                  </w:r>
                </w:p>
              </w:tc>
              <w:tc>
                <w:tcPr>
                  <w:tcW w:w="439"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Merge w:val="continue"/>
                  <w:vAlign w:val="center"/>
                </w:tcPr>
                <w:p>
                  <w:pPr>
                    <w:tabs>
                      <w:tab w:val="center" w:pos="4153"/>
                      <w:tab w:val="right" w:pos="8306"/>
                    </w:tabs>
                    <w:jc w:val="center"/>
                    <w:rPr>
                      <w:b w:val="0"/>
                      <w:bCs w:val="0"/>
                      <w:color w:val="000000" w:themeColor="text1"/>
                      <w:sz w:val="18"/>
                      <w:szCs w:val="18"/>
                      <w14:textFill>
                        <w14:solidFill>
                          <w14:schemeClr w14:val="tx1"/>
                        </w14:solidFill>
                      </w14:textFill>
                    </w:rPr>
                  </w:pPr>
                </w:p>
              </w:tc>
              <w:tc>
                <w:tcPr>
                  <w:tcW w:w="2885"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11.噪声、土壤或地下水污染防治措施变化，导致不利环境影响加重的</w:t>
                  </w:r>
                </w:p>
              </w:tc>
              <w:tc>
                <w:tcPr>
                  <w:tcW w:w="1281"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无变化</w:t>
                  </w:r>
                </w:p>
              </w:tc>
              <w:tc>
                <w:tcPr>
                  <w:tcW w:w="439"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Merge w:val="continue"/>
                  <w:vAlign w:val="center"/>
                </w:tcPr>
                <w:p>
                  <w:pPr>
                    <w:tabs>
                      <w:tab w:val="center" w:pos="4153"/>
                      <w:tab w:val="right" w:pos="8306"/>
                    </w:tabs>
                    <w:jc w:val="center"/>
                    <w:rPr>
                      <w:b w:val="0"/>
                      <w:bCs w:val="0"/>
                      <w:color w:val="000000" w:themeColor="text1"/>
                      <w:sz w:val="18"/>
                      <w:szCs w:val="18"/>
                      <w14:textFill>
                        <w14:solidFill>
                          <w14:schemeClr w14:val="tx1"/>
                        </w14:solidFill>
                      </w14:textFill>
                    </w:rPr>
                  </w:pPr>
                </w:p>
              </w:tc>
              <w:tc>
                <w:tcPr>
                  <w:tcW w:w="2885"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12.固体废物利用处置方式由委托外单位利用处置改为自行利用处置的（自行利用处置设施单独开展环境影响评价的除外）；固体废物自行处置方式变化，导致不利环境影响加重的。</w:t>
                  </w:r>
                </w:p>
              </w:tc>
              <w:tc>
                <w:tcPr>
                  <w:tcW w:w="1281"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无变化</w:t>
                  </w:r>
                </w:p>
              </w:tc>
              <w:tc>
                <w:tcPr>
                  <w:tcW w:w="439"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Merge w:val="continue"/>
                  <w:vAlign w:val="center"/>
                </w:tcPr>
                <w:p>
                  <w:pPr>
                    <w:tabs>
                      <w:tab w:val="center" w:pos="4153"/>
                      <w:tab w:val="right" w:pos="8306"/>
                    </w:tabs>
                    <w:jc w:val="center"/>
                    <w:rPr>
                      <w:b w:val="0"/>
                      <w:bCs w:val="0"/>
                      <w:color w:val="000000" w:themeColor="text1"/>
                      <w:sz w:val="18"/>
                      <w:szCs w:val="18"/>
                      <w14:textFill>
                        <w14:solidFill>
                          <w14:schemeClr w14:val="tx1"/>
                        </w14:solidFill>
                      </w14:textFill>
                    </w:rPr>
                  </w:pPr>
                </w:p>
              </w:tc>
              <w:tc>
                <w:tcPr>
                  <w:tcW w:w="2885"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13.事故废水暂存能力或拦截设施变化，导致环境风险防范能力弱化或降低的。</w:t>
                  </w:r>
                </w:p>
              </w:tc>
              <w:tc>
                <w:tcPr>
                  <w:tcW w:w="1281"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无变化</w:t>
                  </w:r>
                </w:p>
              </w:tc>
              <w:tc>
                <w:tcPr>
                  <w:tcW w:w="439"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eastAsia="宋体"/>
                <w:color w:val="000000" w:themeColor="text1"/>
                <w:vertAlign w:val="baseline"/>
                <w:lang w:val="en-US" w:eastAsia="zh-CN"/>
                <w14:textFill>
                  <w14:solidFill>
                    <w14:schemeClr w14:val="tx1"/>
                  </w14:solidFill>
                </w14:textFill>
              </w:rPr>
            </w:pPr>
            <w:r>
              <w:rPr>
                <w:rFonts w:hint="eastAsia"/>
                <w:color w:val="000000" w:themeColor="text1"/>
                <w14:textFill>
                  <w14:solidFill>
                    <w14:schemeClr w14:val="tx1"/>
                  </w14:solidFill>
                </w14:textFill>
              </w:rPr>
              <w:t>综上，对照《关于印发污染影响类建设项目重大变动清单（试行）的通知》（环 办环评函[2020]688号），本项目无重大变动。</w:t>
            </w:r>
          </w:p>
        </w:tc>
      </w:tr>
    </w:tbl>
    <w:p>
      <w:pPr>
        <w:bidi w:val="0"/>
        <w:rPr>
          <w:rFonts w:hint="default"/>
          <w:color w:val="000000" w:themeColor="text1"/>
          <w:lang w:val="en-US" w:eastAsia="zh-CN"/>
          <w14:textFill>
            <w14:solidFill>
              <w14:schemeClr w14:val="tx1"/>
            </w14:solidFill>
          </w14:textFill>
        </w:rPr>
        <w:sectPr>
          <w:footerReference r:id="rId6" w:type="default"/>
          <w:pgSz w:w="11907" w:h="16840"/>
          <w:pgMar w:top="1077" w:right="1247" w:bottom="1077" w:left="1247" w:header="851" w:footer="442" w:gutter="0"/>
          <w:pgBorders>
            <w:top w:val="none" w:sz="0" w:space="0"/>
            <w:left w:val="none" w:sz="0" w:space="0"/>
            <w:bottom w:val="none" w:sz="0" w:space="0"/>
            <w:right w:val="none" w:sz="0" w:space="0"/>
          </w:pgBorders>
          <w:pgNumType w:start="1"/>
          <w:cols w:space="720" w:num="1"/>
          <w:docGrid w:type="lines" w:linePitch="312" w:charSpace="0"/>
        </w:sectPr>
      </w:pPr>
    </w:p>
    <w:p>
      <w:pPr>
        <w:pStyle w:val="3"/>
        <w:rPr>
          <w:color w:val="000000" w:themeColor="text1"/>
          <w14:textFill>
            <w14:solidFill>
              <w14:schemeClr w14:val="tx1"/>
            </w14:solidFill>
          </w14:textFill>
        </w:rPr>
      </w:pPr>
      <w:bookmarkStart w:id="2" w:name="OLE_LINK5"/>
      <w:bookmarkStart w:id="3" w:name="_Toc523906057"/>
      <w:r>
        <w:rPr>
          <w:color w:val="000000" w:themeColor="text1"/>
          <w14:textFill>
            <w14:solidFill>
              <w14:schemeClr w14:val="tx1"/>
            </w14:solidFill>
          </w14:textFill>
        </w:rPr>
        <w:t>表三  主要污染源</w:t>
      </w:r>
      <w:bookmarkEnd w:id="2"/>
      <w:r>
        <w:rPr>
          <w:rFonts w:hint="eastAsia"/>
          <w:color w:val="000000" w:themeColor="text1"/>
          <w14:textFill>
            <w14:solidFill>
              <w14:schemeClr w14:val="tx1"/>
            </w14:solidFill>
          </w14:textFill>
        </w:rPr>
        <w:t>、</w:t>
      </w:r>
      <w:r>
        <w:rPr>
          <w:color w:val="000000" w:themeColor="text1"/>
          <w14:textFill>
            <w14:solidFill>
              <w14:schemeClr w14:val="tx1"/>
            </w14:solidFill>
          </w14:textFill>
        </w:rPr>
        <w:t>污染物处理及其排放情况</w:t>
      </w:r>
      <w:bookmarkEnd w:id="3"/>
    </w:p>
    <w:tbl>
      <w:tblPr>
        <w:tblStyle w:val="29"/>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5" w:hRule="atLeast"/>
        </w:trPr>
        <w:tc>
          <w:tcPr>
            <w:tcW w:w="9287" w:type="dxa"/>
            <w:shd w:val="clear" w:color="auto" w:fill="auto"/>
          </w:tcPr>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项目运营期主要污染物、污染物处理及排放情况见表3-1。</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w:t>
            </w:r>
            <w:r>
              <w:rPr>
                <w:rFonts w:hint="eastAsia"/>
                <w:b/>
                <w:bCs/>
                <w:color w:val="000000" w:themeColor="text1"/>
                <w:szCs w:val="21"/>
                <w14:textFill>
                  <w14:solidFill>
                    <w14:schemeClr w14:val="tx1"/>
                  </w14:solidFill>
                </w14:textFill>
              </w:rPr>
              <w:t>3</w:t>
            </w:r>
            <w:r>
              <w:rPr>
                <w:b/>
                <w:bCs/>
                <w:color w:val="000000" w:themeColor="text1"/>
                <w:szCs w:val="21"/>
                <w14:textFill>
                  <w14:solidFill>
                    <w14:schemeClr w14:val="tx1"/>
                  </w14:solidFill>
                </w14:textFill>
              </w:rPr>
              <w:t>-1主要污染源、污染物处理和排放</w:t>
            </w:r>
          </w:p>
          <w:tbl>
            <w:tblPr>
              <w:tblStyle w:val="29"/>
              <w:tblW w:w="9071" w:type="dxa"/>
              <w:jc w:val="center"/>
              <w:tblBorders>
                <w:top w:val="single" w:color="auto" w:sz="6" w:space="0"/>
                <w:left w:val="none" w:color="auto" w:sz="0" w:space="0"/>
                <w:bottom w:val="single" w:color="auto" w:sz="6"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0"/>
              <w:gridCol w:w="663"/>
              <w:gridCol w:w="1068"/>
              <w:gridCol w:w="1385"/>
              <w:gridCol w:w="2609"/>
              <w:gridCol w:w="2716"/>
            </w:tblGrid>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6" w:hRule="atLeast"/>
                <w:tblHeader/>
                <w:jc w:val="center"/>
              </w:trPr>
              <w:tc>
                <w:tcPr>
                  <w:tcW w:w="630"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类别</w:t>
                  </w:r>
                </w:p>
              </w:tc>
              <w:tc>
                <w:tcPr>
                  <w:tcW w:w="1731" w:type="dxa"/>
                  <w:gridSpan w:val="2"/>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污染源</w:t>
                  </w:r>
                </w:p>
              </w:tc>
              <w:tc>
                <w:tcPr>
                  <w:tcW w:w="1385"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主要污染物</w:t>
                  </w:r>
                </w:p>
              </w:tc>
              <w:tc>
                <w:tcPr>
                  <w:tcW w:w="2609"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环评设计治理措施</w:t>
                  </w:r>
                </w:p>
              </w:tc>
              <w:tc>
                <w:tcPr>
                  <w:tcW w:w="2716"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实际治理措施</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废气</w:t>
                  </w:r>
                </w:p>
              </w:tc>
              <w:tc>
                <w:tcPr>
                  <w:tcW w:w="663"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有组织</w:t>
                  </w:r>
                </w:p>
              </w:tc>
              <w:tc>
                <w:tcPr>
                  <w:tcW w:w="1068" w:type="dxa"/>
                  <w:tcBorders>
                    <w:tl2br w:val="nil"/>
                    <w:tr2bl w:val="nil"/>
                  </w:tcBorders>
                  <w:shd w:val="clear" w:color="auto" w:fill="auto"/>
                  <w:vAlign w:val="center"/>
                </w:tcPr>
                <w:p>
                  <w:pPr>
                    <w:adjustRightInd w:val="0"/>
                    <w:snapToGrid w:val="0"/>
                    <w:spacing w:before="48" w:beforeLines="20" w:after="48" w:afterLines="20" w:line="240" w:lineRule="atLeast"/>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动物恶臭</w:t>
                  </w:r>
                </w:p>
              </w:tc>
              <w:tc>
                <w:tcPr>
                  <w:tcW w:w="1385" w:type="dxa"/>
                  <w:tcBorders>
                    <w:tl2br w:val="nil"/>
                    <w:tr2bl w:val="nil"/>
                  </w:tcBorders>
                  <w:shd w:val="clear" w:color="auto" w:fill="auto"/>
                  <w:vAlign w:val="center"/>
                </w:tcPr>
                <w:p>
                  <w:pPr>
                    <w:adjustRightInd w:val="0"/>
                    <w:snapToGrid w:val="0"/>
                    <w:spacing w:before="48" w:beforeLines="20" w:after="48" w:afterLines="20" w:line="240" w:lineRule="atLeas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氨</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硫化氢</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臭气浓度</w:t>
                  </w:r>
                </w:p>
              </w:tc>
              <w:tc>
                <w:tcPr>
                  <w:tcW w:w="2609" w:type="dxa"/>
                  <w:tcBorders>
                    <w:tl2br w:val="nil"/>
                    <w:tr2bl w:val="nil"/>
                  </w:tcBorders>
                  <w:shd w:val="clear" w:color="auto" w:fill="auto"/>
                  <w:vAlign w:val="center"/>
                </w:tcPr>
                <w:p>
                  <w:pPr>
                    <w:adjustRightInd w:val="0"/>
                    <w:snapToGrid w:val="0"/>
                    <w:spacing w:before="48" w:beforeLines="20" w:after="48" w:afterLines="20" w:line="240" w:lineRule="atLeast"/>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室内负压收集+6</w:t>
                  </w:r>
                  <w:r>
                    <w:rPr>
                      <w:rFonts w:hint="eastAsia"/>
                      <w:color w:val="000000" w:themeColor="text1"/>
                      <w:sz w:val="21"/>
                      <w:szCs w:val="21"/>
                      <w:highlight w:val="none"/>
                      <w14:textFill>
                        <w14:solidFill>
                          <w14:schemeClr w14:val="tx1"/>
                        </w14:solidFill>
                      </w14:textFill>
                    </w:rPr>
                    <w:t>3</w:t>
                  </w:r>
                  <w:r>
                    <w:rPr>
                      <w:color w:val="000000" w:themeColor="text1"/>
                      <w:sz w:val="21"/>
                      <w:szCs w:val="21"/>
                      <w:highlight w:val="none"/>
                      <w14:textFill>
                        <w14:solidFill>
                          <w14:schemeClr w14:val="tx1"/>
                        </w14:solidFill>
                      </w14:textFill>
                    </w:rPr>
                    <w:t>m高排气筒</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DA001</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直接排放</w:t>
                  </w:r>
                </w:p>
              </w:tc>
              <w:tc>
                <w:tcPr>
                  <w:tcW w:w="2716" w:type="dxa"/>
                  <w:tcBorders>
                    <w:tl2br w:val="nil"/>
                    <w:tr2bl w:val="nil"/>
                  </w:tcBorders>
                  <w:shd w:val="clear" w:color="auto" w:fill="auto"/>
                  <w:vAlign w:val="center"/>
                </w:tcPr>
                <w:p>
                  <w:pPr>
                    <w:adjustRightInd w:val="0"/>
                    <w:snapToGrid w:val="0"/>
                    <w:spacing w:before="48" w:beforeLines="20" w:after="48" w:afterLines="20" w:line="240" w:lineRule="atLeast"/>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室内负压收集+</w:t>
                  </w:r>
                  <w:r>
                    <w:rPr>
                      <w:rFonts w:hint="eastAsia"/>
                      <w:color w:val="000000" w:themeColor="text1"/>
                      <w:sz w:val="21"/>
                      <w:szCs w:val="21"/>
                      <w:highlight w:val="none"/>
                      <w:lang w:val="en-US" w:eastAsia="zh-CN"/>
                      <w14:textFill>
                        <w14:solidFill>
                          <w14:schemeClr w14:val="tx1"/>
                        </w14:solidFill>
                      </w14:textFill>
                    </w:rPr>
                    <w:t>70</w:t>
                  </w:r>
                  <w:r>
                    <w:rPr>
                      <w:color w:val="000000" w:themeColor="text1"/>
                      <w:sz w:val="21"/>
                      <w:szCs w:val="21"/>
                      <w:highlight w:val="none"/>
                      <w14:textFill>
                        <w14:solidFill>
                          <w14:schemeClr w14:val="tx1"/>
                        </w14:solidFill>
                      </w14:textFill>
                    </w:rPr>
                    <w:t>m高排气筒</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DA001</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直接排放</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0"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63"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068" w:type="dxa"/>
                  <w:tcBorders>
                    <w:tl2br w:val="nil"/>
                    <w:tr2bl w:val="nil"/>
                  </w:tcBorders>
                  <w:shd w:val="clear" w:color="auto" w:fill="auto"/>
                  <w:vAlign w:val="center"/>
                </w:tcPr>
                <w:p>
                  <w:pPr>
                    <w:adjustRightInd w:val="0"/>
                    <w:snapToGrid w:val="0"/>
                    <w:spacing w:before="48" w:beforeLines="20" w:after="48" w:afterLines="20" w:line="240" w:lineRule="atLeast"/>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醇提</w:t>
                  </w:r>
                </w:p>
              </w:tc>
              <w:tc>
                <w:tcPr>
                  <w:tcW w:w="1385" w:type="dxa"/>
                  <w:tcBorders>
                    <w:tl2br w:val="nil"/>
                    <w:tr2bl w:val="nil"/>
                  </w:tcBorders>
                  <w:shd w:val="clear" w:color="auto" w:fill="auto"/>
                  <w:vAlign w:val="center"/>
                </w:tcPr>
                <w:p>
                  <w:pPr>
                    <w:adjustRightInd w:val="0"/>
                    <w:snapToGrid w:val="0"/>
                    <w:spacing w:before="48" w:beforeLines="20" w:after="48" w:afterLines="20" w:line="240" w:lineRule="atLeast"/>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非甲烷总烃</w:t>
                  </w:r>
                </w:p>
              </w:tc>
              <w:tc>
                <w:tcPr>
                  <w:tcW w:w="2609" w:type="dxa"/>
                  <w:vMerge w:val="restart"/>
                  <w:tcBorders>
                    <w:tl2br w:val="nil"/>
                    <w:tr2bl w:val="nil"/>
                  </w:tcBorders>
                  <w:shd w:val="clear" w:color="auto" w:fill="auto"/>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通风橱+6</w:t>
                  </w:r>
                  <w:r>
                    <w:rPr>
                      <w:rFonts w:hint="eastAsia"/>
                      <w:color w:val="000000" w:themeColor="text1"/>
                      <w:sz w:val="21"/>
                      <w:szCs w:val="21"/>
                      <w:highlight w:val="none"/>
                      <w14:textFill>
                        <w14:solidFill>
                          <w14:schemeClr w14:val="tx1"/>
                        </w14:solidFill>
                      </w14:textFill>
                    </w:rPr>
                    <w:t>3</w:t>
                  </w:r>
                  <w:r>
                    <w:rPr>
                      <w:color w:val="000000" w:themeColor="text1"/>
                      <w:sz w:val="21"/>
                      <w:szCs w:val="21"/>
                      <w:highlight w:val="none"/>
                      <w14:textFill>
                        <w14:solidFill>
                          <w14:schemeClr w14:val="tx1"/>
                        </w14:solidFill>
                      </w14:textFill>
                    </w:rPr>
                    <w:t>m高排气筒</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DA002</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直接排放</w:t>
                  </w:r>
                </w:p>
              </w:tc>
              <w:tc>
                <w:tcPr>
                  <w:tcW w:w="2716"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通风橱+</w:t>
                  </w:r>
                  <w:r>
                    <w:rPr>
                      <w:rFonts w:hint="eastAsia"/>
                      <w:color w:val="000000" w:themeColor="text1"/>
                      <w:sz w:val="21"/>
                      <w:szCs w:val="21"/>
                      <w:highlight w:val="none"/>
                      <w:lang w:val="en-US" w:eastAsia="zh-CN"/>
                      <w14:textFill>
                        <w14:solidFill>
                          <w14:schemeClr w14:val="tx1"/>
                        </w14:solidFill>
                      </w14:textFill>
                    </w:rPr>
                    <w:t>70</w:t>
                  </w:r>
                  <w:r>
                    <w:rPr>
                      <w:color w:val="000000" w:themeColor="text1"/>
                      <w:sz w:val="21"/>
                      <w:szCs w:val="21"/>
                      <w:highlight w:val="none"/>
                      <w14:textFill>
                        <w14:solidFill>
                          <w14:schemeClr w14:val="tx1"/>
                        </w14:solidFill>
                      </w14:textFill>
                    </w:rPr>
                    <w:t>m高排气筒</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DA002</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直接排放</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0"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63"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068" w:type="dxa"/>
                  <w:tcBorders>
                    <w:tl2br w:val="nil"/>
                    <w:tr2bl w:val="nil"/>
                  </w:tcBorders>
                  <w:shd w:val="clear" w:color="auto" w:fill="auto"/>
                  <w:vAlign w:val="center"/>
                </w:tcPr>
                <w:p>
                  <w:pPr>
                    <w:adjustRightInd w:val="0"/>
                    <w:snapToGrid w:val="0"/>
                    <w:spacing w:before="48" w:beforeLines="20" w:after="48" w:afterLines="20" w:line="240" w:lineRule="atLeast"/>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前处理</w:t>
                  </w:r>
                </w:p>
              </w:tc>
              <w:tc>
                <w:tcPr>
                  <w:tcW w:w="1385" w:type="dxa"/>
                  <w:tcBorders>
                    <w:tl2br w:val="nil"/>
                    <w:tr2bl w:val="nil"/>
                  </w:tcBorders>
                  <w:shd w:val="clear" w:color="auto" w:fill="auto"/>
                  <w:vAlign w:val="center"/>
                </w:tcPr>
                <w:p>
                  <w:pPr>
                    <w:adjustRightInd w:val="0"/>
                    <w:snapToGrid w:val="0"/>
                    <w:spacing w:before="48" w:beforeLines="20" w:after="48" w:afterLines="20" w:line="240" w:lineRule="atLeas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非甲烷总烃</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苯</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甲醇</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硫酸雾</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NOx</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HCl</w:t>
                  </w:r>
                </w:p>
              </w:tc>
              <w:tc>
                <w:tcPr>
                  <w:tcW w:w="2609"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271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dxa"/>
                  <w:vMerge w:val="continue"/>
                  <w:tcBorders>
                    <w:tl2br w:val="nil"/>
                    <w:tr2bl w:val="nil"/>
                  </w:tcBorders>
                  <w:shd w:val="clear" w:color="auto" w:fill="auto"/>
                  <w:vAlign w:val="center"/>
                </w:tcPr>
                <w:p>
                  <w:pPr>
                    <w:jc w:val="center"/>
                    <w:rPr>
                      <w:b w:val="0"/>
                      <w:bCs/>
                      <w:color w:val="000000" w:themeColor="text1"/>
                      <w:sz w:val="18"/>
                      <w:szCs w:val="18"/>
                      <w14:textFill>
                        <w14:solidFill>
                          <w14:schemeClr w14:val="tx1"/>
                        </w14:solidFill>
                      </w14:textFill>
                    </w:rPr>
                  </w:pPr>
                </w:p>
              </w:tc>
              <w:tc>
                <w:tcPr>
                  <w:tcW w:w="1731" w:type="dxa"/>
                  <w:gridSpan w:val="2"/>
                  <w:vMerge w:val="restart"/>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实验室边界</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无组织</w:t>
                  </w:r>
                </w:p>
              </w:tc>
              <w:tc>
                <w:tcPr>
                  <w:tcW w:w="1385" w:type="dxa"/>
                  <w:tcBorders>
                    <w:tl2br w:val="nil"/>
                    <w:tr2bl w:val="nil"/>
                  </w:tcBorders>
                  <w:shd w:val="clear" w:color="auto" w:fill="auto"/>
                  <w:vAlign w:val="center"/>
                </w:tcPr>
                <w:p>
                  <w:pPr>
                    <w:adjustRightInd w:val="0"/>
                    <w:snapToGrid w:val="0"/>
                    <w:spacing w:before="48" w:beforeLines="20" w:after="48" w:afterLines="20" w:line="240" w:lineRule="atLeast"/>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氨</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硫化氢</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臭气浓度</w:t>
                  </w:r>
                </w:p>
              </w:tc>
              <w:tc>
                <w:tcPr>
                  <w:tcW w:w="2609" w:type="dxa"/>
                  <w:vMerge w:val="restart"/>
                  <w:tcBorders>
                    <w:tl2br w:val="nil"/>
                    <w:tr2bl w:val="nil"/>
                  </w:tcBorders>
                  <w:shd w:val="clear" w:color="auto" w:fill="auto"/>
                  <w:vAlign w:val="center"/>
                </w:tcPr>
                <w:p>
                  <w:pPr>
                    <w:adjustRightInd w:val="0"/>
                    <w:snapToGrid w:val="0"/>
                    <w:spacing w:before="48" w:beforeLines="20" w:after="48" w:afterLines="20" w:line="240" w:lineRule="atLeast"/>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项目边界设置100m卫生防护距离</w:t>
                  </w:r>
                </w:p>
              </w:tc>
              <w:tc>
                <w:tcPr>
                  <w:tcW w:w="2716" w:type="dxa"/>
                  <w:vMerge w:val="restart"/>
                  <w:tcBorders>
                    <w:tl2br w:val="nil"/>
                    <w:tr2bl w:val="nil"/>
                  </w:tcBorders>
                  <w:shd w:val="clear" w:color="auto" w:fill="auto"/>
                  <w:vAlign w:val="center"/>
                </w:tcPr>
                <w:p>
                  <w:pPr>
                    <w:adjustRightInd w:val="0"/>
                    <w:snapToGrid w:val="0"/>
                    <w:spacing w:before="48" w:beforeLines="20" w:after="48" w:afterLines="20" w:line="240" w:lineRule="atLeast"/>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项目边界设置100m卫生防护距离</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dxa"/>
                  <w:vMerge w:val="continue"/>
                  <w:tcBorders>
                    <w:tl2br w:val="nil"/>
                    <w:tr2bl w:val="nil"/>
                  </w:tcBorders>
                  <w:shd w:val="clear" w:color="auto" w:fill="auto"/>
                  <w:vAlign w:val="center"/>
                </w:tcPr>
                <w:p>
                  <w:pPr>
                    <w:jc w:val="center"/>
                    <w:rPr>
                      <w:b w:val="0"/>
                      <w:bCs/>
                      <w:color w:val="000000" w:themeColor="text1"/>
                      <w:sz w:val="18"/>
                      <w:szCs w:val="18"/>
                      <w14:textFill>
                        <w14:solidFill>
                          <w14:schemeClr w14:val="tx1"/>
                        </w14:solidFill>
                      </w14:textFill>
                    </w:rPr>
                  </w:pPr>
                </w:p>
              </w:tc>
              <w:tc>
                <w:tcPr>
                  <w:tcW w:w="1731" w:type="dxa"/>
                  <w:gridSpan w:val="2"/>
                  <w:vMerge w:val="continue"/>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385" w:type="dxa"/>
                  <w:tcBorders>
                    <w:tl2br w:val="nil"/>
                    <w:tr2bl w:val="nil"/>
                  </w:tcBorders>
                  <w:shd w:val="clear" w:color="auto" w:fill="auto"/>
                  <w:vAlign w:val="center"/>
                </w:tcPr>
                <w:p>
                  <w:pPr>
                    <w:adjustRightInd w:val="0"/>
                    <w:snapToGrid w:val="0"/>
                    <w:spacing w:before="48" w:beforeLines="20" w:after="48" w:afterLines="20" w:line="240" w:lineRule="atLeas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非甲烷总烃</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苯</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甲醇</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硫酸雾</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NOx</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HCl</w:t>
                  </w:r>
                </w:p>
              </w:tc>
              <w:tc>
                <w:tcPr>
                  <w:tcW w:w="2609" w:type="dxa"/>
                  <w:vMerge w:val="continue"/>
                  <w:tcBorders>
                    <w:tl2br w:val="nil"/>
                    <w:tr2bl w:val="nil"/>
                  </w:tcBorders>
                  <w:shd w:val="clear" w:color="auto" w:fill="auto"/>
                  <w:vAlign w:val="center"/>
                </w:tcPr>
                <w:p>
                  <w:pPr>
                    <w:adjustRightInd w:val="0"/>
                    <w:snapToGrid w:val="0"/>
                    <w:spacing w:before="48" w:beforeLines="20" w:after="48" w:afterLines="20" w:line="240" w:lineRule="atLeast"/>
                    <w:jc w:val="center"/>
                    <w:rPr>
                      <w:rFonts w:hint="eastAsia"/>
                      <w:b w:val="0"/>
                      <w:bCs/>
                      <w:color w:val="000000" w:themeColor="text1"/>
                      <w:sz w:val="21"/>
                      <w:szCs w:val="21"/>
                      <w14:textFill>
                        <w14:solidFill>
                          <w14:schemeClr w14:val="tx1"/>
                        </w14:solidFill>
                      </w14:textFill>
                    </w:rPr>
                  </w:pPr>
                </w:p>
              </w:tc>
              <w:tc>
                <w:tcPr>
                  <w:tcW w:w="2716" w:type="dxa"/>
                  <w:vMerge w:val="continue"/>
                  <w:tcBorders>
                    <w:tl2br w:val="nil"/>
                    <w:tr2bl w:val="nil"/>
                  </w:tcBorders>
                  <w:shd w:val="clear" w:color="auto" w:fill="auto"/>
                  <w:vAlign w:val="center"/>
                </w:tcPr>
                <w:p>
                  <w:pPr>
                    <w:jc w:val="center"/>
                    <w:rPr>
                      <w:rFonts w:hint="eastAsia"/>
                      <w:b w:val="0"/>
                      <w:bCs/>
                      <w:color w:val="000000" w:themeColor="text1"/>
                      <w:sz w:val="18"/>
                      <w:szCs w:val="18"/>
                      <w14:textFill>
                        <w14:solidFill>
                          <w14:schemeClr w14:val="tx1"/>
                        </w14:solidFill>
                      </w14:textFill>
                    </w:rPr>
                  </w:pP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dxa"/>
                  <w:vMerge w:val="continue"/>
                  <w:tcBorders>
                    <w:tl2br w:val="nil"/>
                    <w:tr2bl w:val="nil"/>
                  </w:tcBorders>
                  <w:shd w:val="clear" w:color="auto" w:fill="auto"/>
                  <w:vAlign w:val="center"/>
                </w:tcPr>
                <w:p>
                  <w:pPr>
                    <w:jc w:val="center"/>
                    <w:rPr>
                      <w:b w:val="0"/>
                      <w:bCs/>
                      <w:color w:val="000000" w:themeColor="text1"/>
                      <w:sz w:val="18"/>
                      <w:szCs w:val="18"/>
                      <w14:textFill>
                        <w14:solidFill>
                          <w14:schemeClr w14:val="tx1"/>
                        </w14:solidFill>
                      </w14:textFill>
                    </w:rPr>
                  </w:pPr>
                </w:p>
              </w:tc>
              <w:tc>
                <w:tcPr>
                  <w:tcW w:w="1731" w:type="dxa"/>
                  <w:gridSpan w:val="2"/>
                  <w:tcBorders>
                    <w:tl2br w:val="nil"/>
                    <w:tr2bl w:val="nil"/>
                  </w:tcBorders>
                  <w:shd w:val="clear" w:color="auto" w:fill="auto"/>
                  <w:vAlign w:val="center"/>
                </w:tcPr>
                <w:p>
                  <w:pPr>
                    <w:adjustRightInd w:val="0"/>
                    <w:snapToGrid w:val="0"/>
                    <w:spacing w:before="48" w:beforeLines="20" w:after="48" w:afterLines="20" w:line="240" w:lineRule="atLeast"/>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实验室区域内无组织</w:t>
                  </w:r>
                </w:p>
              </w:tc>
              <w:tc>
                <w:tcPr>
                  <w:tcW w:w="1385" w:type="dxa"/>
                  <w:tcBorders>
                    <w:tl2br w:val="nil"/>
                    <w:tr2bl w:val="nil"/>
                  </w:tcBorders>
                  <w:shd w:val="clear" w:color="auto" w:fill="auto"/>
                  <w:vAlign w:val="center"/>
                </w:tcPr>
                <w:p>
                  <w:pPr>
                    <w:adjustRightInd w:val="0"/>
                    <w:snapToGrid w:val="0"/>
                    <w:spacing w:before="48" w:beforeLines="20" w:after="48" w:afterLines="20" w:line="240" w:lineRule="atLeas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0"/>
                      <w:szCs w:val="20"/>
                      <w:highlight w:val="none"/>
                      <w:lang w:val="en-US" w:eastAsia="zh-CN"/>
                      <w14:textFill>
                        <w14:solidFill>
                          <w14:schemeClr w14:val="tx1"/>
                        </w14:solidFill>
                      </w14:textFill>
                    </w:rPr>
                    <w:t>非甲烷总烃</w:t>
                  </w:r>
                </w:p>
              </w:tc>
              <w:tc>
                <w:tcPr>
                  <w:tcW w:w="2609" w:type="dxa"/>
                  <w:tcBorders>
                    <w:tl2br w:val="nil"/>
                    <w:tr2bl w:val="nil"/>
                  </w:tcBorders>
                  <w:shd w:val="clear" w:color="auto" w:fill="auto"/>
                  <w:vAlign w:val="center"/>
                </w:tcPr>
                <w:p>
                  <w:pPr>
                    <w:adjustRightInd w:val="0"/>
                    <w:snapToGrid w:val="0"/>
                    <w:spacing w:before="48" w:beforeLines="20" w:after="48" w:afterLines="20" w:line="240" w:lineRule="atLeast"/>
                    <w:jc w:val="center"/>
                    <w:rPr>
                      <w:rFonts w:hint="eastAsia"/>
                      <w:b w:val="0"/>
                      <w:bCs/>
                      <w:color w:val="000000" w:themeColor="text1"/>
                      <w:sz w:val="18"/>
                      <w:szCs w:val="18"/>
                      <w14:textFill>
                        <w14:solidFill>
                          <w14:schemeClr w14:val="tx1"/>
                        </w14:solidFill>
                      </w14:textFill>
                    </w:rPr>
                  </w:pPr>
                  <w:r>
                    <w:rPr>
                      <w:rFonts w:hint="eastAsia"/>
                      <w:color w:val="000000" w:themeColor="text1"/>
                      <w:sz w:val="20"/>
                      <w:szCs w:val="20"/>
                      <w:highlight w:val="none"/>
                      <w:lang w:val="en-US" w:eastAsia="zh-CN"/>
                      <w14:textFill>
                        <w14:solidFill>
                          <w14:schemeClr w14:val="tx1"/>
                        </w14:solidFill>
                      </w14:textFill>
                    </w:rPr>
                    <w:t>/</w:t>
                  </w:r>
                </w:p>
              </w:tc>
              <w:tc>
                <w:tcPr>
                  <w:tcW w:w="2716" w:type="dxa"/>
                  <w:tcBorders>
                    <w:tl2br w:val="nil"/>
                    <w:tr2bl w:val="nil"/>
                  </w:tcBorders>
                  <w:shd w:val="clear" w:color="auto" w:fill="auto"/>
                  <w:vAlign w:val="center"/>
                </w:tcPr>
                <w:p>
                  <w:pPr>
                    <w:adjustRightInd w:val="0"/>
                    <w:snapToGrid w:val="0"/>
                    <w:spacing w:before="48" w:beforeLines="20" w:after="48" w:afterLines="20" w:line="240" w:lineRule="atLeast"/>
                    <w:jc w:val="center"/>
                    <w:rPr>
                      <w:rFonts w:hint="eastAsia"/>
                      <w:b w:val="0"/>
                      <w:bCs/>
                      <w:color w:val="000000" w:themeColor="text1"/>
                      <w:sz w:val="18"/>
                      <w:szCs w:val="18"/>
                      <w14:textFill>
                        <w14:solidFill>
                          <w14:schemeClr w14:val="tx1"/>
                        </w14:solidFill>
                      </w14:textFill>
                    </w:rPr>
                  </w:pPr>
                  <w:r>
                    <w:rPr>
                      <w:rFonts w:hint="eastAsia"/>
                      <w:color w:val="000000" w:themeColor="text1"/>
                      <w:sz w:val="20"/>
                      <w:szCs w:val="20"/>
                      <w:highlight w:val="none"/>
                      <w:lang w:val="en-US" w:eastAsia="zh-CN"/>
                      <w14:textFill>
                        <w14:solidFill>
                          <w14:schemeClr w14:val="tx1"/>
                        </w14:solidFill>
                      </w14:textFill>
                    </w:rPr>
                    <w:t>/</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630"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废水</w:t>
                  </w:r>
                </w:p>
              </w:tc>
              <w:tc>
                <w:tcPr>
                  <w:tcW w:w="1731" w:type="dxa"/>
                  <w:gridSpan w:val="2"/>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清洗</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废水</w:t>
                  </w:r>
                </w:p>
              </w:tc>
              <w:tc>
                <w:tcPr>
                  <w:tcW w:w="1385"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pH</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COD</w:t>
                  </w:r>
                  <w:r>
                    <w:rPr>
                      <w:rFonts w:hint="default"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Cr</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BOD</w:t>
                  </w:r>
                  <w:r>
                    <w:rPr>
                      <w:rFonts w:hint="default"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5</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SS</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NH</w:t>
                  </w:r>
                  <w:r>
                    <w:rPr>
                      <w:rFonts w:hint="default"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-N</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TP</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TN</w:t>
                  </w:r>
                  <w:r>
                    <w:rPr>
                      <w:rFonts w:hint="eastAsia" w:cs="Times New Roman"/>
                      <w:color w:val="000000" w:themeColor="text1"/>
                      <w:kern w:val="2"/>
                      <w:sz w:val="21"/>
                      <w:szCs w:val="21"/>
                      <w:highlight w:val="none"/>
                      <w:lang w:val="en-US" w:eastAsia="zh-CN" w:bidi="ar-SA"/>
                      <w14:textFill>
                        <w14:solidFill>
                          <w14:schemeClr w14:val="tx1"/>
                        </w14:solidFill>
                      </w14:textFill>
                    </w:rPr>
                    <w:t>、粪大肠杆菌、LAS、总余氯</w:t>
                  </w:r>
                </w:p>
              </w:tc>
              <w:tc>
                <w:tcPr>
                  <w:tcW w:w="2609"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2m</w:t>
                  </w:r>
                  <w:r>
                    <w:rPr>
                      <w:color w:val="000000" w:themeColor="text1"/>
                      <w:sz w:val="21"/>
                      <w:szCs w:val="21"/>
                      <w:highlight w:val="none"/>
                      <w:vertAlign w:val="superscript"/>
                      <w14:textFill>
                        <w14:solidFill>
                          <w14:schemeClr w14:val="tx1"/>
                        </w14:solidFill>
                      </w14:textFill>
                    </w:rPr>
                    <w:t>3</w:t>
                  </w:r>
                  <w:r>
                    <w:rPr>
                      <w:color w:val="000000" w:themeColor="text1"/>
                      <w:sz w:val="21"/>
                      <w:szCs w:val="21"/>
                      <w:highlight w:val="none"/>
                      <w14:textFill>
                        <w14:solidFill>
                          <w14:schemeClr w14:val="tx1"/>
                        </w14:solidFill>
                      </w14:textFill>
                    </w:rPr>
                    <w:t>/d（污水调节+厌氧生化+兼氧生化+好氧生化+沉淀池+消毒池）组合工艺</w:t>
                  </w:r>
                </w:p>
              </w:tc>
              <w:tc>
                <w:tcPr>
                  <w:tcW w:w="2716"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2m</w:t>
                  </w:r>
                  <w:r>
                    <w:rPr>
                      <w:color w:val="000000" w:themeColor="text1"/>
                      <w:sz w:val="21"/>
                      <w:szCs w:val="21"/>
                      <w:highlight w:val="none"/>
                      <w:vertAlign w:val="superscript"/>
                      <w14:textFill>
                        <w14:solidFill>
                          <w14:schemeClr w14:val="tx1"/>
                        </w14:solidFill>
                      </w14:textFill>
                    </w:rPr>
                    <w:t>3</w:t>
                  </w:r>
                  <w:r>
                    <w:rPr>
                      <w:color w:val="000000" w:themeColor="text1"/>
                      <w:sz w:val="21"/>
                      <w:szCs w:val="21"/>
                      <w:highlight w:val="none"/>
                      <w14:textFill>
                        <w14:solidFill>
                          <w14:schemeClr w14:val="tx1"/>
                        </w14:solidFill>
                      </w14:textFill>
                    </w:rPr>
                    <w:t>/d（污水调节+厌氧生化+兼氧生化+好氧生化+沉淀池+消毒池）组合工艺</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630" w:type="dxa"/>
                  <w:vMerge w:val="continue"/>
                  <w:tcBorders>
                    <w:tl2br w:val="nil"/>
                    <w:tr2bl w:val="nil"/>
                  </w:tcBorders>
                  <w:shd w:val="clear" w:color="auto" w:fill="auto"/>
                  <w:vAlign w:val="center"/>
                </w:tcPr>
                <w:p>
                  <w:pPr>
                    <w:jc w:val="center"/>
                    <w:rPr>
                      <w:color w:val="000000" w:themeColor="text1"/>
                      <w14:textFill>
                        <w14:solidFill>
                          <w14:schemeClr w14:val="tx1"/>
                        </w14:solidFill>
                      </w14:textFill>
                    </w:rPr>
                  </w:pPr>
                </w:p>
              </w:tc>
              <w:tc>
                <w:tcPr>
                  <w:tcW w:w="1731" w:type="dxa"/>
                  <w:gridSpan w:val="2"/>
                  <w:tcBorders>
                    <w:tl2br w:val="nil"/>
                    <w:tr2bl w:val="nil"/>
                  </w:tcBorders>
                  <w:shd w:val="clear" w:color="auto" w:fill="auto"/>
                  <w:vAlign w:val="center"/>
                </w:tcPr>
                <w:p>
                  <w:pPr>
                    <w:jc w:val="center"/>
                    <w:rPr>
                      <w:rFonts w:hint="default"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生活废水+地面拖洗废水</w:t>
                  </w:r>
                </w:p>
              </w:tc>
              <w:tc>
                <w:tcPr>
                  <w:tcW w:w="1385" w:type="dxa"/>
                  <w:tcBorders>
                    <w:tl2br w:val="nil"/>
                    <w:tr2bl w:val="nil"/>
                  </w:tcBorders>
                  <w:shd w:val="clear" w:color="auto" w:fill="auto"/>
                  <w:vAlign w:val="center"/>
                </w:tcPr>
                <w:p>
                  <w:pPr>
                    <w:jc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pH</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COD</w:t>
                  </w:r>
                  <w:r>
                    <w:rPr>
                      <w:rFonts w:hint="default"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Cr</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BOD</w:t>
                  </w:r>
                  <w:r>
                    <w:rPr>
                      <w:rFonts w:hint="default"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5</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SS</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NH</w:t>
                  </w:r>
                  <w:r>
                    <w:rPr>
                      <w:rFonts w:hint="default"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-N</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TP</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TN</w:t>
                  </w:r>
                </w:p>
              </w:tc>
              <w:tc>
                <w:tcPr>
                  <w:tcW w:w="2609" w:type="dxa"/>
                  <w:tcBorders>
                    <w:tl2br w:val="nil"/>
                    <w:tr2bl w:val="nil"/>
                  </w:tcBorders>
                  <w:shd w:val="clear" w:color="auto" w:fill="auto"/>
                  <w:vAlign w:val="center"/>
                </w:tcPr>
                <w:p>
                  <w:pPr>
                    <w:jc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4m</w:t>
                  </w:r>
                  <w:r>
                    <w:rPr>
                      <w:color w:val="000000" w:themeColor="text1"/>
                      <w:sz w:val="21"/>
                      <w:szCs w:val="21"/>
                      <w:highlight w:val="none"/>
                      <w:vertAlign w:val="superscript"/>
                      <w14:textFill>
                        <w14:solidFill>
                          <w14:schemeClr w14:val="tx1"/>
                        </w14:solidFill>
                      </w14:textFill>
                    </w:rPr>
                    <w:t>3</w:t>
                  </w:r>
                  <w:r>
                    <w:rPr>
                      <w:color w:val="000000" w:themeColor="text1"/>
                      <w:sz w:val="21"/>
                      <w:szCs w:val="21"/>
                      <w:highlight w:val="none"/>
                      <w14:textFill>
                        <w14:solidFill>
                          <w14:schemeClr w14:val="tx1"/>
                        </w14:solidFill>
                      </w14:textFill>
                    </w:rPr>
                    <w:t>/d</w:t>
                  </w:r>
                  <w:r>
                    <w:rPr>
                      <w:rFonts w:hint="eastAsia" w:cs="Times New Roman"/>
                      <w:color w:val="000000" w:themeColor="text1"/>
                      <w:kern w:val="2"/>
                      <w:sz w:val="21"/>
                      <w:szCs w:val="21"/>
                      <w:highlight w:val="none"/>
                      <w:lang w:val="en-US" w:eastAsia="zh-CN" w:bidi="ar-SA"/>
                      <w14:textFill>
                        <w14:solidFill>
                          <w14:schemeClr w14:val="tx1"/>
                        </w14:solidFill>
                      </w14:textFill>
                    </w:rPr>
                    <w:t>化粪池</w:t>
                  </w:r>
                </w:p>
              </w:tc>
              <w:tc>
                <w:tcPr>
                  <w:tcW w:w="2716" w:type="dxa"/>
                  <w:tcBorders>
                    <w:tl2br w:val="nil"/>
                    <w:tr2bl w:val="nil"/>
                  </w:tcBorders>
                  <w:shd w:val="clear" w:color="auto" w:fill="auto"/>
                  <w:vAlign w:val="center"/>
                </w:tcPr>
                <w:p>
                  <w:pPr>
                    <w:jc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4m</w:t>
                  </w:r>
                  <w:r>
                    <w:rPr>
                      <w:color w:val="000000" w:themeColor="text1"/>
                      <w:sz w:val="21"/>
                      <w:szCs w:val="21"/>
                      <w:highlight w:val="none"/>
                      <w:vertAlign w:val="superscript"/>
                      <w14:textFill>
                        <w14:solidFill>
                          <w14:schemeClr w14:val="tx1"/>
                        </w14:solidFill>
                      </w14:textFill>
                    </w:rPr>
                    <w:t>3</w:t>
                  </w:r>
                  <w:r>
                    <w:rPr>
                      <w:color w:val="000000" w:themeColor="text1"/>
                      <w:sz w:val="21"/>
                      <w:szCs w:val="21"/>
                      <w:highlight w:val="none"/>
                      <w14:textFill>
                        <w14:solidFill>
                          <w14:schemeClr w14:val="tx1"/>
                        </w14:solidFill>
                      </w14:textFill>
                    </w:rPr>
                    <w:t>/d</w:t>
                  </w:r>
                  <w:r>
                    <w:rPr>
                      <w:rFonts w:hint="eastAsia" w:cs="Times New Roman"/>
                      <w:color w:val="000000" w:themeColor="text1"/>
                      <w:kern w:val="2"/>
                      <w:sz w:val="21"/>
                      <w:szCs w:val="21"/>
                      <w:highlight w:val="none"/>
                      <w:lang w:val="en-US" w:eastAsia="zh-CN" w:bidi="ar-SA"/>
                      <w14:textFill>
                        <w14:solidFill>
                          <w14:schemeClr w14:val="tx1"/>
                        </w14:solidFill>
                      </w14:textFill>
                    </w:rPr>
                    <w:t>化粪池</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630"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噪声</w:t>
                  </w:r>
                </w:p>
              </w:tc>
              <w:tc>
                <w:tcPr>
                  <w:tcW w:w="1731" w:type="dxa"/>
                  <w:gridSpan w:val="2"/>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生产设备</w:t>
                  </w:r>
                </w:p>
              </w:tc>
              <w:tc>
                <w:tcPr>
                  <w:tcW w:w="1385"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噪声</w:t>
                  </w:r>
                </w:p>
              </w:tc>
              <w:tc>
                <w:tcPr>
                  <w:tcW w:w="2609"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采取消声、减震、隔声等措施</w:t>
                  </w:r>
                </w:p>
              </w:tc>
              <w:tc>
                <w:tcPr>
                  <w:tcW w:w="2716"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采取消声、减震、隔声等措施</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0"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固体废物</w:t>
                  </w:r>
                </w:p>
              </w:tc>
              <w:tc>
                <w:tcPr>
                  <w:tcW w:w="1731" w:type="dxa"/>
                  <w:gridSpan w:val="2"/>
                  <w:vMerge w:val="restart"/>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生产生活</w:t>
                  </w:r>
                </w:p>
              </w:tc>
              <w:tc>
                <w:tcPr>
                  <w:tcW w:w="1385"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一般固废</w:t>
                  </w:r>
                </w:p>
              </w:tc>
              <w:tc>
                <w:tcPr>
                  <w:tcW w:w="2609"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正常饲养废弃物委托专门处置动物粪便单位处置，废反渗透膜、中药渣外售综合利用</w:t>
                  </w:r>
                </w:p>
              </w:tc>
              <w:tc>
                <w:tcPr>
                  <w:tcW w:w="2716"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正常饲养废弃物委托专门处置动物粪便单位处置，废反渗透膜、中药渣外售综合利用</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731" w:type="dxa"/>
                  <w:gridSpan w:val="2"/>
                  <w:vMerge w:val="continue"/>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385"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危险固废</w:t>
                  </w:r>
                </w:p>
              </w:tc>
              <w:tc>
                <w:tcPr>
                  <w:tcW w:w="2609"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实验废弃物、潜在危害饲养废弃物交由有危废处置资质单位处理</w:t>
                  </w:r>
                </w:p>
              </w:tc>
              <w:tc>
                <w:tcPr>
                  <w:tcW w:w="2716"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实验废弃物、潜在危害饲养废弃物交由有危废处置资质单位处理</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731" w:type="dxa"/>
                  <w:gridSpan w:val="2"/>
                  <w:vMerge w:val="continue"/>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385"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动物尸体</w:t>
                  </w:r>
                </w:p>
              </w:tc>
              <w:tc>
                <w:tcPr>
                  <w:tcW w:w="2609"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病死动物尸体、药理学动物尸体交由有危废处置资质单位处理，动物尸体委托持有许可证的动物尸体机构处理</w:t>
                  </w:r>
                </w:p>
              </w:tc>
              <w:tc>
                <w:tcPr>
                  <w:tcW w:w="2716"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病死动物尸体、药理学动物尸体交由有危废处置资质单位处理，动物尸体委托持有许可证的动物尸体机构处理</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731" w:type="dxa"/>
                  <w:gridSpan w:val="2"/>
                  <w:vMerge w:val="continue"/>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385"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生活垃圾</w:t>
                  </w:r>
                </w:p>
              </w:tc>
              <w:tc>
                <w:tcPr>
                  <w:tcW w:w="2609"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收集后由当地环卫部门统一清运处理</w:t>
                  </w:r>
                </w:p>
              </w:tc>
              <w:tc>
                <w:tcPr>
                  <w:tcW w:w="2716"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收集后由当地环卫部门统一清运处理</w:t>
                  </w:r>
                </w:p>
              </w:tc>
            </w:tr>
          </w:tbl>
          <w:p>
            <w:pPr>
              <w:spacing w:line="360" w:lineRule="auto"/>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3.1污染物来源</w:t>
            </w:r>
          </w:p>
          <w:p>
            <w:pPr>
              <w:spacing w:line="360" w:lineRule="auto"/>
              <w:jc w:val="left"/>
              <w:rPr>
                <w:rFonts w:hint="default" w:eastAsia="宋体"/>
                <w:b/>
                <w:bCs/>
                <w:color w:val="000000" w:themeColor="text1"/>
                <w:sz w:val="24"/>
                <w:lang w:val="en-US" w:eastAsia="zh-CN"/>
                <w14:textFill>
                  <w14:solidFill>
                    <w14:schemeClr w14:val="tx1"/>
                  </w14:solidFill>
                </w14:textFill>
              </w:rPr>
            </w:pPr>
            <w:r>
              <w:rPr>
                <w:rFonts w:hint="eastAsia"/>
                <w:b/>
                <w:bCs/>
                <w:color w:val="000000" w:themeColor="text1"/>
                <w:sz w:val="24"/>
                <w14:textFill>
                  <w14:solidFill>
                    <w14:schemeClr w14:val="tx1"/>
                  </w14:solidFill>
                </w14:textFill>
              </w:rPr>
              <w:t>3.1.1废水污染源、污染物及其排放情况</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cs="Times New Roman"/>
                <w:color w:val="000000" w:themeColor="text1"/>
                <w:sz w:val="24"/>
                <w:szCs w:val="24"/>
                <w:highlight w:val="none"/>
                <w:lang w:eastAsia="zh-CN"/>
                <w14:textFill>
                  <w14:solidFill>
                    <w14:schemeClr w14:val="tx1"/>
                  </w14:solidFill>
                </w14:textFill>
              </w:rPr>
              <w:t>项目</w:t>
            </w:r>
            <w:r>
              <w:rPr>
                <w:rFonts w:hint="eastAsia"/>
                <w:color w:val="000000" w:themeColor="text1"/>
                <w:sz w:val="24"/>
                <w:szCs w:val="24"/>
                <w:highlight w:val="none"/>
                <w:lang w:val="en-US" w:eastAsia="zh-CN"/>
                <w14:textFill>
                  <w14:solidFill>
                    <w14:schemeClr w14:val="tx1"/>
                  </w14:solidFill>
                </w14:textFill>
              </w:rPr>
              <w:t>pH、</w:t>
            </w:r>
            <w:r>
              <w:rPr>
                <w:rFonts w:hint="default"/>
                <w:color w:val="000000" w:themeColor="text1"/>
                <w:sz w:val="24"/>
                <w:szCs w:val="24"/>
                <w:highlight w:val="none"/>
                <w14:textFill>
                  <w14:solidFill>
                    <w14:schemeClr w14:val="tx1"/>
                  </w14:solidFill>
                </w14:textFill>
              </w:rPr>
              <w:t>氨氮、</w:t>
            </w:r>
            <w:r>
              <w:rPr>
                <w:rFonts w:hint="default"/>
                <w:color w:val="000000" w:themeColor="text1"/>
                <w:sz w:val="24"/>
                <w:szCs w:val="24"/>
                <w:highlight w:val="none"/>
                <w:lang w:val="en-US" w:eastAsia="zh-CN"/>
                <w14:textFill>
                  <w14:solidFill>
                    <w14:schemeClr w14:val="tx1"/>
                  </w14:solidFill>
                </w14:textFill>
              </w:rPr>
              <w:t>TN、</w:t>
            </w:r>
            <w:r>
              <w:rPr>
                <w:rFonts w:hint="default"/>
                <w:color w:val="000000" w:themeColor="text1"/>
                <w:sz w:val="24"/>
                <w:szCs w:val="24"/>
                <w:highlight w:val="none"/>
                <w14:textFill>
                  <w14:solidFill>
                    <w14:schemeClr w14:val="tx1"/>
                  </w14:solidFill>
                </w14:textFill>
              </w:rPr>
              <w:t>TP</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CODcr、BOD</w:t>
            </w:r>
            <w:r>
              <w:rPr>
                <w:rFonts w:hint="eastAsia"/>
                <w:color w:val="000000" w:themeColor="text1"/>
                <w:sz w:val="24"/>
                <w:szCs w:val="24"/>
                <w:vertAlign w:val="subscript"/>
                <w:lang w:val="en-US" w:eastAsia="zh-CN"/>
                <w14:textFill>
                  <w14:solidFill>
                    <w14:schemeClr w14:val="tx1"/>
                  </w14:solidFill>
                </w14:textFill>
              </w:rPr>
              <w:t>5</w:t>
            </w:r>
            <w:r>
              <w:rPr>
                <w:rFonts w:hint="eastAsia"/>
                <w:color w:val="000000" w:themeColor="text1"/>
                <w:sz w:val="24"/>
                <w:szCs w:val="24"/>
                <w:lang w:val="en-US" w:eastAsia="zh-CN"/>
                <w14:textFill>
                  <w14:solidFill>
                    <w14:schemeClr w14:val="tx1"/>
                  </w14:solidFill>
                </w14:textFill>
              </w:rPr>
              <w:t>、SS</w:t>
            </w:r>
            <w:r>
              <w:rPr>
                <w:rFonts w:hint="eastAsia"/>
                <w:color w:val="000000" w:themeColor="text1"/>
                <w:sz w:val="24"/>
                <w:szCs w:val="24"/>
                <w14:textFill>
                  <w14:solidFill>
                    <w14:schemeClr w14:val="tx1"/>
                  </w14:solidFill>
                </w14:textFill>
              </w:rPr>
              <w:t>可以达到瑶湖污水处理厂接管标准和《医疗机构水污染物排放标准》（GB18466-2005）表2中预处理标准</w:t>
            </w:r>
            <w:r>
              <w:rPr>
                <w:rFonts w:hint="default" w:ascii="Times New Roman" w:hAnsi="Times New Roman" w:eastAsia="宋体" w:cs="Times New Roman"/>
                <w:color w:val="000000" w:themeColor="text1"/>
                <w:sz w:val="24"/>
                <w:szCs w:val="24"/>
                <w:highlight w:val="none"/>
                <w14:textFill>
                  <w14:solidFill>
                    <w14:schemeClr w14:val="tx1"/>
                  </w14:solidFill>
                </w14:textFill>
              </w:rPr>
              <w:t>，粪大肠菌群数（MPN/L）</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LAS</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总余氯</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可以达到</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《医疗机构水污染物排放标准》（GB18466-2005）</w:t>
            </w:r>
            <w:r>
              <w:rPr>
                <w:rFonts w:hint="default" w:ascii="Times New Roman" w:hAnsi="Times New Roman" w:eastAsia="宋体" w:cs="Times New Roman"/>
                <w:color w:val="000000" w:themeColor="text1"/>
                <w:sz w:val="24"/>
                <w:szCs w:val="24"/>
                <w:highlight w:val="none"/>
                <w14:textFill>
                  <w14:solidFill>
                    <w14:schemeClr w14:val="tx1"/>
                  </w14:solidFill>
                </w14:textFill>
              </w:rPr>
              <w:t>表2中排放标准</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由园区污水管网排入</w:t>
            </w:r>
            <w:r>
              <w:rPr>
                <w:rFonts w:hint="eastAsia" w:cs="Times New Roman"/>
                <w:color w:val="000000" w:themeColor="text1"/>
                <w:sz w:val="24"/>
                <w:szCs w:val="24"/>
                <w:highlight w:val="none"/>
                <w:lang w:eastAsia="zh-CN"/>
                <w14:textFill>
                  <w14:solidFill>
                    <w14:schemeClr w14:val="tx1"/>
                  </w14:solidFill>
                </w14:textFill>
              </w:rPr>
              <w:t>瑶湖</w:t>
            </w:r>
            <w:r>
              <w:rPr>
                <w:rFonts w:hint="default" w:ascii="Times New Roman" w:hAnsi="Times New Roman" w:eastAsia="宋体" w:cs="Times New Roman"/>
                <w:color w:val="000000" w:themeColor="text1"/>
                <w:sz w:val="24"/>
                <w:szCs w:val="24"/>
                <w:highlight w:val="none"/>
                <w14:textFill>
                  <w14:solidFill>
                    <w14:schemeClr w14:val="tx1"/>
                  </w14:solidFill>
                </w14:textFill>
              </w:rPr>
              <w:t>污水处理厂，污水处理厂排放尾水执行《城镇污水处理厂污染物排放标准》（GB18918-2002）一级A标准</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360" w:lineRule="auto"/>
              <w:ind w:firstLine="482" w:firstLineChars="200"/>
              <w:jc w:val="left"/>
              <w:textAlignment w:val="auto"/>
              <w:rPr>
                <w:b/>
                <w:bCs/>
                <w:color w:val="000000" w:themeColor="text1"/>
                <w:sz w:val="24"/>
                <w:szCs w:val="24"/>
                <w14:textFill>
                  <w14:solidFill>
                    <w14:schemeClr w14:val="tx1"/>
                  </w14:solidFill>
                </w14:textFill>
              </w:rPr>
            </w:pPr>
            <w:r>
              <w:rPr>
                <w:rFonts w:hint="eastAsia"/>
                <w:b/>
                <w:bCs/>
                <w:color w:val="000000" w:themeColor="text1"/>
                <w:sz w:val="24"/>
                <w14:textFill>
                  <w14:solidFill>
                    <w14:schemeClr w14:val="tx1"/>
                  </w14:solidFill>
                </w14:textFill>
              </w:rPr>
              <w:t>3.1.2</w:t>
            </w:r>
            <w:r>
              <w:rPr>
                <w:rFonts w:hint="eastAsia"/>
                <w:b/>
                <w:bCs/>
                <w:color w:val="000000" w:themeColor="text1"/>
                <w:sz w:val="24"/>
                <w:szCs w:val="24"/>
                <w14:textFill>
                  <w14:solidFill>
                    <w14:schemeClr w14:val="tx1"/>
                  </w14:solidFill>
                </w14:textFill>
              </w:rPr>
              <w:t>废气污染源、污染物及其处理和排放流程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1、有组织废气</w:t>
            </w:r>
          </w:p>
          <w:p>
            <w:pPr>
              <w:spacing w:line="360" w:lineRule="auto"/>
              <w:ind w:firstLine="480" w:firstLineChars="200"/>
              <w:jc w:val="left"/>
              <w:rPr>
                <w:rFonts w:hint="default" w:hAnsi="宋体"/>
                <w:bCs/>
                <w:color w:val="000000" w:themeColor="text1"/>
                <w:sz w:val="24"/>
                <w14:textFill>
                  <w14:solidFill>
                    <w14:schemeClr w14:val="tx1"/>
                  </w14:solidFill>
                </w14:textFill>
              </w:rPr>
            </w:pPr>
            <w:r>
              <w:rPr>
                <w:bCs/>
                <w:color w:val="000000" w:themeColor="text1"/>
                <w:sz w:val="24"/>
                <w:highlight w:val="none"/>
                <w14:textFill>
                  <w14:solidFill>
                    <w14:schemeClr w14:val="tx1"/>
                  </w14:solidFill>
                </w14:textFill>
              </w:rPr>
              <w:t>本项目动物饲养</w:t>
            </w:r>
            <w:r>
              <w:rPr>
                <w:rFonts w:hint="eastAsia"/>
                <w:bCs/>
                <w:color w:val="000000" w:themeColor="text1"/>
                <w:sz w:val="24"/>
                <w:highlight w:val="none"/>
                <w:lang w:eastAsia="zh-CN"/>
                <w14:textFill>
                  <w14:solidFill>
                    <w14:schemeClr w14:val="tx1"/>
                  </w14:solidFill>
                </w14:textFill>
              </w:rPr>
              <w:t>产生</w:t>
            </w:r>
            <w:r>
              <w:rPr>
                <w:bCs/>
                <w:color w:val="000000" w:themeColor="text1"/>
                <w:sz w:val="24"/>
                <w:highlight w:val="none"/>
                <w14:textFill>
                  <w14:solidFill>
                    <w14:schemeClr w14:val="tx1"/>
                  </w14:solidFill>
                </w14:textFill>
              </w:rPr>
              <w:t>氨、硫化氢、臭气浓度经过室内负压收集后由1根</w:t>
            </w:r>
            <w:r>
              <w:rPr>
                <w:rFonts w:hint="eastAsia"/>
                <w:bCs/>
                <w:color w:val="000000" w:themeColor="text1"/>
                <w:sz w:val="24"/>
                <w:highlight w:val="none"/>
                <w:lang w:val="en-US" w:eastAsia="zh-CN"/>
                <w14:textFill>
                  <w14:solidFill>
                    <w14:schemeClr w14:val="tx1"/>
                  </w14:solidFill>
                </w14:textFill>
              </w:rPr>
              <w:t>70</w:t>
            </w:r>
            <w:r>
              <w:rPr>
                <w:bCs/>
                <w:color w:val="000000" w:themeColor="text1"/>
                <w:sz w:val="24"/>
                <w:highlight w:val="none"/>
                <w14:textFill>
                  <w14:solidFill>
                    <w14:schemeClr w14:val="tx1"/>
                  </w14:solidFill>
                </w14:textFill>
              </w:rPr>
              <w:t>m高排气筒（DA001</w:t>
            </w:r>
            <w:r>
              <w:rPr>
                <w:rFonts w:hint="eastAsia"/>
                <w:bCs/>
                <w:color w:val="000000" w:themeColor="text1"/>
                <w:sz w:val="24"/>
                <w:highlight w:val="none"/>
                <w:lang w:eastAsia="zh-CN"/>
                <w14:textFill>
                  <w14:solidFill>
                    <w14:schemeClr w14:val="tx1"/>
                  </w14:solidFill>
                </w14:textFill>
              </w:rPr>
              <w:t>）</w:t>
            </w:r>
            <w:r>
              <w:rPr>
                <w:bCs/>
                <w:color w:val="000000" w:themeColor="text1"/>
                <w:sz w:val="24"/>
                <w:highlight w:val="none"/>
                <w14:textFill>
                  <w14:solidFill>
                    <w14:schemeClr w14:val="tx1"/>
                  </w14:solidFill>
                </w14:textFill>
              </w:rPr>
              <w:t>直接排放</w:t>
            </w:r>
            <w:r>
              <w:rPr>
                <w:rFonts w:hint="eastAsia"/>
                <w:bCs/>
                <w:color w:val="000000" w:themeColor="text1"/>
                <w:sz w:val="24"/>
                <w:highlight w:val="none"/>
                <w:lang w:eastAsia="zh-CN"/>
                <w14:textFill>
                  <w14:solidFill>
                    <w14:schemeClr w14:val="tx1"/>
                  </w14:solidFill>
                </w14:textFill>
              </w:rPr>
              <w:t>；</w:t>
            </w:r>
            <w:r>
              <w:rPr>
                <w:rFonts w:hint="eastAsia"/>
                <w:bCs/>
                <w:color w:val="000000" w:themeColor="text1"/>
                <w:sz w:val="24"/>
                <w:highlight w:val="none"/>
                <w14:textFill>
                  <w14:solidFill>
                    <w14:schemeClr w14:val="tx1"/>
                  </w14:solidFill>
                </w14:textFill>
              </w:rPr>
              <w:t>前处理和醇提</w:t>
            </w:r>
            <w:r>
              <w:rPr>
                <w:bCs/>
                <w:color w:val="000000" w:themeColor="text1"/>
                <w:sz w:val="24"/>
                <w:highlight w:val="none"/>
                <w14:textFill>
                  <w14:solidFill>
                    <w14:schemeClr w14:val="tx1"/>
                  </w14:solidFill>
                </w14:textFill>
              </w:rPr>
              <w:t>废气</w:t>
            </w:r>
            <w:r>
              <w:rPr>
                <w:rFonts w:hint="eastAsia"/>
                <w:bCs/>
                <w:color w:val="000000" w:themeColor="text1"/>
                <w:sz w:val="24"/>
                <w:highlight w:val="none"/>
                <w:lang w:eastAsia="zh-CN"/>
                <w14:textFill>
                  <w14:solidFill>
                    <w14:schemeClr w14:val="tx1"/>
                  </w14:solidFill>
                </w14:textFill>
              </w:rPr>
              <w:t>产生的</w:t>
            </w:r>
            <w:r>
              <w:rPr>
                <w:bCs/>
                <w:color w:val="000000" w:themeColor="text1"/>
                <w:sz w:val="24"/>
                <w:highlight w:val="none"/>
                <w14:textFill>
                  <w14:solidFill>
                    <w14:schemeClr w14:val="tx1"/>
                  </w14:solidFill>
                </w14:textFill>
              </w:rPr>
              <w:t>非甲烷总烃、苯、甲醇、硫酸雾、NOx、HCl经过通风橱收集后由1根</w:t>
            </w:r>
            <w:r>
              <w:rPr>
                <w:rFonts w:hint="eastAsia"/>
                <w:bCs/>
                <w:color w:val="000000" w:themeColor="text1"/>
                <w:sz w:val="24"/>
                <w:highlight w:val="none"/>
                <w:lang w:val="en-US" w:eastAsia="zh-CN"/>
                <w14:textFill>
                  <w14:solidFill>
                    <w14:schemeClr w14:val="tx1"/>
                  </w14:solidFill>
                </w14:textFill>
              </w:rPr>
              <w:t>70</w:t>
            </w:r>
            <w:r>
              <w:rPr>
                <w:bCs/>
                <w:color w:val="000000" w:themeColor="text1"/>
                <w:sz w:val="24"/>
                <w:highlight w:val="none"/>
                <w14:textFill>
                  <w14:solidFill>
                    <w14:schemeClr w14:val="tx1"/>
                  </w14:solidFill>
                </w14:textFill>
              </w:rPr>
              <w:t>m高排气筒（DA002</w:t>
            </w:r>
            <w:r>
              <w:rPr>
                <w:rFonts w:hint="eastAsia"/>
                <w:color w:val="000000" w:themeColor="text1"/>
                <w:lang w:eastAsia="zh-CN"/>
                <w14:textFill>
                  <w14:solidFill>
                    <w14:schemeClr w14:val="tx1"/>
                  </w14:solidFill>
                </w14:textFill>
              </w:rPr>
              <w:t>）</w:t>
            </w:r>
            <w:r>
              <w:rPr>
                <w:bCs/>
                <w:color w:val="000000" w:themeColor="text1"/>
                <w:sz w:val="24"/>
                <w:highlight w:val="none"/>
                <w14:textFill>
                  <w14:solidFill>
                    <w14:schemeClr w14:val="tx1"/>
                  </w14:solidFill>
                </w14:textFill>
              </w:rPr>
              <w:t>直接排放</w:t>
            </w:r>
            <w:r>
              <w:rPr>
                <w:rFonts w:hint="default" w:hAnsi="宋体"/>
                <w:bCs/>
                <w:color w:val="000000" w:themeColor="text1"/>
                <w:sz w:val="24"/>
                <w14:textFill>
                  <w14:solidFill>
                    <w14:schemeClr w14:val="tx1"/>
                  </w14:solidFill>
                </w14:textFill>
              </w:rPr>
              <w:t>。</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2、无组织废气</w:t>
            </w:r>
          </w:p>
          <w:p>
            <w:pPr>
              <w:adjustRightInd w:val="0"/>
              <w:snapToGrid w:val="0"/>
              <w:spacing w:line="360" w:lineRule="auto"/>
              <w:ind w:firstLine="480" w:firstLineChars="200"/>
              <w:jc w:val="both"/>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未收集的废气加强车间通风</w:t>
            </w:r>
            <w:r>
              <w:rPr>
                <w:color w:val="000000" w:themeColor="text1"/>
                <w:sz w:val="24"/>
                <w:szCs w:val="24"/>
                <w14:textFill>
                  <w14:solidFill>
                    <w14:schemeClr w14:val="tx1"/>
                  </w14:solidFill>
                </w14:textFill>
              </w:rPr>
              <w:t>。</w:t>
            </w:r>
          </w:p>
          <w:p>
            <w:pPr>
              <w:spacing w:line="360" w:lineRule="auto"/>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 xml:space="preserve">3.1.3 </w:t>
            </w:r>
            <w:r>
              <w:rPr>
                <w:b/>
                <w:bCs/>
                <w:color w:val="000000" w:themeColor="text1"/>
                <w:sz w:val="24"/>
                <w14:textFill>
                  <w14:solidFill>
                    <w14:schemeClr w14:val="tx1"/>
                  </w14:solidFill>
                </w14:textFill>
              </w:rPr>
              <w:t>噪声来源及其排放情况</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项目噪声主要来自生产设备运行时产生的噪声。</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采取消声、减震、隔声等措施</w:t>
            </w:r>
            <w:r>
              <w:rPr>
                <w:color w:val="000000" w:themeColor="text1"/>
                <w:sz w:val="24"/>
                <w:szCs w:val="24"/>
                <w14:textFill>
                  <w14:solidFill>
                    <w14:schemeClr w14:val="tx1"/>
                  </w14:solidFill>
                </w14:textFill>
              </w:rPr>
              <w:t>。</w:t>
            </w:r>
          </w:p>
          <w:p>
            <w:pPr>
              <w:spacing w:line="360" w:lineRule="auto"/>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3.1.4固体废物</w:t>
            </w:r>
            <w:r>
              <w:rPr>
                <w:b/>
                <w:bCs/>
                <w:color w:val="000000" w:themeColor="text1"/>
                <w:sz w:val="24"/>
                <w14:textFill>
                  <w14:solidFill>
                    <w14:schemeClr w14:val="tx1"/>
                  </w14:solidFill>
                </w14:textFill>
              </w:rPr>
              <w:t>来源及其</w:t>
            </w:r>
            <w:r>
              <w:rPr>
                <w:rFonts w:hint="eastAsia"/>
                <w:b/>
                <w:bCs/>
                <w:color w:val="000000" w:themeColor="text1"/>
                <w:sz w:val="24"/>
                <w14:textFill>
                  <w14:solidFill>
                    <w14:schemeClr w14:val="tx1"/>
                  </w14:solidFill>
                </w14:textFill>
              </w:rPr>
              <w:t>处理处置</w:t>
            </w:r>
            <w:r>
              <w:rPr>
                <w:b/>
                <w:bCs/>
                <w:color w:val="000000" w:themeColor="text1"/>
                <w:sz w:val="24"/>
                <w14:textFill>
                  <w14:solidFill>
                    <w14:schemeClr w14:val="tx1"/>
                  </w14:solidFill>
                </w14:textFill>
              </w:rPr>
              <w:t>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1</w:t>
            </w:r>
            <w:r>
              <w:rPr>
                <w:rFonts w:hint="eastAsia"/>
                <w:color w:val="000000" w:themeColor="text1"/>
                <w:sz w:val="24"/>
                <w:szCs w:val="24"/>
                <w14:textFill>
                  <w14:solidFill>
                    <w14:schemeClr w14:val="tx1"/>
                  </w14:solidFill>
                </w14:textFill>
              </w:rPr>
              <w:t>、建立环境管理台账制度，固体废物产生情况及处置去向如下：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正常饲养废弃物</w:t>
            </w:r>
            <w:r>
              <w:rPr>
                <w:rFonts w:hint="eastAsia" w:ascii="Times New Roman" w:hAnsi="Times New Roman" w:cs="Times New Roman"/>
                <w:color w:val="000000" w:themeColor="text1"/>
                <w:sz w:val="24"/>
                <w:szCs w:val="24"/>
                <w:lang w:val="en-US" w:eastAsia="zh-CN"/>
                <w14:textFill>
                  <w14:solidFill>
                    <w14:schemeClr w14:val="tx1"/>
                  </w14:solidFill>
                </w14:textFill>
              </w:rPr>
              <w:t>委托专门处置动物粪便单位处置</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废反渗透膜</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中药渣</w:t>
            </w:r>
            <w:r>
              <w:rPr>
                <w:rFonts w:hint="eastAsia" w:ascii="Times New Roman" w:hAnsi="Times New Roman" w:cs="Times New Roman"/>
                <w:color w:val="000000" w:themeColor="text1"/>
                <w:sz w:val="24"/>
                <w:szCs w:val="24"/>
                <w:lang w:val="en-US" w:eastAsia="zh-CN"/>
                <w14:textFill>
                  <w14:solidFill>
                    <w14:schemeClr w14:val="tx1"/>
                  </w14:solidFill>
                </w14:textFill>
              </w:rPr>
              <w:t>外售综合利用</w:t>
            </w:r>
            <w:r>
              <w:rPr>
                <w:rFonts w:hint="eastAsia" w:ascii="Times New Roman" w:hAnsi="Times New Roman" w:cs="Times New Roman"/>
                <w:color w:val="000000" w:themeColor="text1"/>
                <w:sz w:val="24"/>
                <w:szCs w:val="24"/>
                <w14:textFill>
                  <w14:solidFill>
                    <w14:schemeClr w14:val="tx1"/>
                  </w14:solidFill>
                </w14:textFill>
              </w:rPr>
              <w:t>。实验废弃物</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潜在危害饲养废弃物</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病死动物尸体</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药理学动物尸体委托具备《危险废物经营许可证》资质且核准经营危险废物类别相符的单位集中处理</w:t>
            </w:r>
            <w:r>
              <w:rPr>
                <w:rFonts w:hint="eastAsia" w:ascii="Times New Roman" w:hAnsi="Times New Roman" w:cs="Times New Roman"/>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2</w:t>
            </w:r>
            <w:r>
              <w:rPr>
                <w:rFonts w:hint="eastAsia"/>
                <w:color w:val="000000" w:themeColor="text1"/>
                <w:sz w:val="24"/>
                <w:szCs w:val="24"/>
                <w14:textFill>
                  <w14:solidFill>
                    <w14:schemeClr w14:val="tx1"/>
                  </w14:solidFill>
                </w14:textFill>
              </w:rPr>
              <w:t>、生活垃圾收集后由当地环卫部门统一清运处理</w:t>
            </w:r>
            <w:r>
              <w:rPr>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360" w:lineRule="auto"/>
              <w:jc w:val="left"/>
              <w:textAlignment w:val="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3.2其他环境保护设施</w:t>
            </w:r>
          </w:p>
          <w:p>
            <w:pPr>
              <w:spacing w:line="360" w:lineRule="auto"/>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3.2.1 环境管理机构设置及有关环境管理制度</w:t>
            </w:r>
          </w:p>
          <w:p>
            <w:pPr>
              <w:adjustRightInd w:val="0"/>
              <w:snapToGrid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1）建设单位需设专门的环境管理部门，安排专门环保人员，负责项目运行过程中环境管理、环境监控等工作，并受项目所在地主管部门、生态环境部门的监督和指导。</w:t>
            </w:r>
          </w:p>
          <w:p>
            <w:pPr>
              <w:adjustRightInd w:val="0"/>
              <w:snapToGrid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2）安排专人定期对环保设施进行检查、维修、保养等工作，确保环保设施长期、稳定、达标运行。</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3）定期对员工进行环境保护教育、培训，提高员工的环保意识。</w:t>
            </w:r>
          </w:p>
          <w:p>
            <w:pPr>
              <w:spacing w:line="360" w:lineRule="auto"/>
              <w:jc w:val="left"/>
              <w:rPr>
                <w:b/>
                <w:bCs/>
                <w:color w:val="000000" w:themeColor="text1"/>
                <w:sz w:val="24"/>
                <w:szCs w:val="24"/>
                <w14:textFill>
                  <w14:solidFill>
                    <w14:schemeClr w14:val="tx1"/>
                  </w14:solidFill>
                </w14:textFill>
              </w:rPr>
            </w:pPr>
            <w:r>
              <w:rPr>
                <w:rFonts w:hint="eastAsia"/>
                <w:b/>
                <w:bCs/>
                <w:color w:val="000000" w:themeColor="text1"/>
                <w:sz w:val="24"/>
                <w14:textFill>
                  <w14:solidFill>
                    <w14:schemeClr w14:val="tx1"/>
                  </w14:solidFill>
                </w14:textFill>
              </w:rPr>
              <w:t>3.2.2 环保设施建设与运行</w:t>
            </w:r>
            <w:r>
              <w:rPr>
                <w:rFonts w:hint="eastAsia"/>
                <w:b/>
                <w:bCs/>
                <w:color w:val="000000" w:themeColor="text1"/>
                <w:sz w:val="24"/>
                <w:szCs w:val="24"/>
                <w14:textFill>
                  <w14:solidFill>
                    <w14:schemeClr w14:val="tx1"/>
                  </w14:solidFill>
                </w14:textFill>
              </w:rPr>
              <w:t>情况</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中山大学南昌研究院生物医药研究中心建设项目竣工环境保护验收监测报告</w:t>
            </w:r>
            <w:r>
              <w:rPr>
                <w:rFonts w:hint="eastAsia"/>
                <w:color w:val="000000" w:themeColor="text1"/>
                <w:sz w:val="24"/>
                <w:szCs w:val="24"/>
                <w:lang w:eastAsia="zh-CN"/>
                <w14:textFill>
                  <w14:solidFill>
                    <w14:schemeClr w14:val="tx1"/>
                  </w14:solidFill>
                </w14:textFill>
              </w:rPr>
              <w:t>基本</w:t>
            </w:r>
            <w:r>
              <w:rPr>
                <w:rFonts w:hint="eastAsia"/>
                <w:color w:val="000000" w:themeColor="text1"/>
                <w:sz w:val="24"/>
                <w:szCs w:val="24"/>
                <w14:textFill>
                  <w14:solidFill>
                    <w14:schemeClr w14:val="tx1"/>
                  </w14:solidFill>
                </w14:textFill>
              </w:rPr>
              <w:t>落实了环评报告及环评批复中提出的各项污染防治措施要求，环保设施的运行及为维护由公司专职人员负责，</w:t>
            </w:r>
            <w:r>
              <w:rPr>
                <w:rFonts w:hint="eastAsia"/>
                <w:color w:val="000000" w:themeColor="text1"/>
                <w:sz w:val="24"/>
                <w:szCs w:val="24"/>
                <w:lang w:eastAsia="zh-CN"/>
                <w14:textFill>
                  <w14:solidFill>
                    <w14:schemeClr w14:val="tx1"/>
                  </w14:solidFill>
                </w14:textFill>
              </w:rPr>
              <w:t>排气筒高度由原来</w:t>
            </w:r>
            <w:r>
              <w:rPr>
                <w:rFonts w:hint="eastAsia"/>
                <w:color w:val="000000" w:themeColor="text1"/>
                <w:sz w:val="24"/>
                <w:szCs w:val="24"/>
                <w:lang w:val="en-US" w:eastAsia="zh-CN"/>
                <w14:textFill>
                  <w14:solidFill>
                    <w14:schemeClr w14:val="tx1"/>
                  </w14:solidFill>
                </w14:textFill>
              </w:rPr>
              <w:t>63m改为70m，</w:t>
            </w:r>
            <w:r>
              <w:rPr>
                <w:rFonts w:hint="eastAsia"/>
                <w:color w:val="000000" w:themeColor="text1"/>
                <w:sz w:val="24"/>
                <w:szCs w:val="24"/>
                <w14:textFill>
                  <w14:solidFill>
                    <w14:schemeClr w14:val="tx1"/>
                  </w14:solidFill>
                </w14:textFill>
              </w:rPr>
              <w:t>主要环保设施</w:t>
            </w:r>
            <w:r>
              <w:rPr>
                <w:rFonts w:hint="eastAsia" w:ascii="Times New Roman" w:hAnsi="Times New Roman" w:cs="Times New Roman"/>
                <w:color w:val="000000" w:themeColor="text1"/>
                <w:sz w:val="24"/>
                <w:szCs w:val="24"/>
                <w14:textFill>
                  <w14:solidFill>
                    <w14:schemeClr w14:val="tx1"/>
                  </w14:solidFill>
                </w14:textFill>
              </w:rPr>
              <w:t>包括室内负压收集+</w:t>
            </w:r>
            <w:r>
              <w:rPr>
                <w:rFonts w:hint="eastAsia" w:cs="Times New Roman"/>
                <w:color w:val="000000" w:themeColor="text1"/>
                <w:sz w:val="24"/>
                <w:szCs w:val="24"/>
                <w:lang w:val="en-US" w:eastAsia="zh-CN"/>
                <w14:textFill>
                  <w14:solidFill>
                    <w14:schemeClr w14:val="tx1"/>
                  </w14:solidFill>
                </w14:textFill>
              </w:rPr>
              <w:t>70</w:t>
            </w:r>
            <w:r>
              <w:rPr>
                <w:rFonts w:hint="eastAsia" w:ascii="Times New Roman" w:hAnsi="Times New Roman" w:cs="Times New Roman"/>
                <w:color w:val="000000" w:themeColor="text1"/>
                <w:sz w:val="24"/>
                <w:szCs w:val="24"/>
                <w14:textFill>
                  <w14:solidFill>
                    <w14:schemeClr w14:val="tx1"/>
                  </w14:solidFill>
                </w14:textFill>
              </w:rPr>
              <w:t>m高排气筒</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DA001</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通风橱+</w:t>
            </w:r>
            <w:r>
              <w:rPr>
                <w:rFonts w:hint="eastAsia" w:cs="Times New Roman"/>
                <w:color w:val="000000" w:themeColor="text1"/>
                <w:sz w:val="24"/>
                <w:szCs w:val="24"/>
                <w:lang w:val="en-US" w:eastAsia="zh-CN"/>
                <w14:textFill>
                  <w14:solidFill>
                    <w14:schemeClr w14:val="tx1"/>
                  </w14:solidFill>
                </w14:textFill>
              </w:rPr>
              <w:t>70</w:t>
            </w:r>
            <w:r>
              <w:rPr>
                <w:rFonts w:hint="eastAsia" w:ascii="Times New Roman" w:hAnsi="Times New Roman" w:cs="Times New Roman"/>
                <w:color w:val="000000" w:themeColor="text1"/>
                <w:sz w:val="24"/>
                <w:szCs w:val="24"/>
                <w14:textFill>
                  <w14:solidFill>
                    <w14:schemeClr w14:val="tx1"/>
                  </w14:solidFill>
                </w14:textFill>
              </w:rPr>
              <w:t>m高排气筒</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DA002</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color w:val="000000" w:themeColor="text1"/>
                <w:sz w:val="24"/>
                <w:szCs w:val="24"/>
                <w:lang w:eastAsia="zh-CN"/>
                <w14:textFill>
                  <w14:solidFill>
                    <w14:schemeClr w14:val="tx1"/>
                  </w14:solidFill>
                </w14:textFill>
              </w:rPr>
              <w:t>，4m</w:t>
            </w:r>
            <w:r>
              <w:rPr>
                <w:rFonts w:hint="eastAsia"/>
                <w:color w:val="000000" w:themeColor="text1"/>
                <w:sz w:val="24"/>
                <w:szCs w:val="24"/>
                <w:vertAlign w:val="superscript"/>
                <w:lang w:eastAsia="zh-CN"/>
                <w14:textFill>
                  <w14:solidFill>
                    <w14:schemeClr w14:val="tx1"/>
                  </w14:solidFill>
                </w14:textFill>
              </w:rPr>
              <w:t>3</w:t>
            </w:r>
            <w:r>
              <w:rPr>
                <w:rFonts w:hint="eastAsia"/>
                <w:color w:val="000000" w:themeColor="text1"/>
                <w:sz w:val="24"/>
                <w:szCs w:val="24"/>
                <w:lang w:eastAsia="zh-CN"/>
                <w14:textFill>
                  <w14:solidFill>
                    <w14:schemeClr w14:val="tx1"/>
                  </w14:solidFill>
                </w14:textFill>
              </w:rPr>
              <w:t>/d化粪池、2m</w:t>
            </w:r>
            <w:r>
              <w:rPr>
                <w:rFonts w:hint="eastAsia"/>
                <w:color w:val="000000" w:themeColor="text1"/>
                <w:sz w:val="24"/>
                <w:szCs w:val="24"/>
                <w:vertAlign w:val="superscript"/>
                <w:lang w:eastAsia="zh-CN"/>
                <w14:textFill>
                  <w14:solidFill>
                    <w14:schemeClr w14:val="tx1"/>
                  </w14:solidFill>
                </w14:textFill>
              </w:rPr>
              <w:t>3</w:t>
            </w:r>
            <w:r>
              <w:rPr>
                <w:rFonts w:hint="eastAsia"/>
                <w:color w:val="000000" w:themeColor="text1"/>
                <w:sz w:val="24"/>
                <w:szCs w:val="24"/>
                <w:lang w:eastAsia="zh-CN"/>
                <w14:textFill>
                  <w14:solidFill>
                    <w14:schemeClr w14:val="tx1"/>
                  </w14:solidFill>
                </w14:textFill>
              </w:rPr>
              <w:t>/d（污水调节+厌氧生化+兼氧生化+好氧生化+沉淀池+消毒池）组合工艺，</w:t>
            </w:r>
            <w:r>
              <w:rPr>
                <w:rFonts w:hint="default"/>
                <w:color w:val="000000" w:themeColor="text1"/>
                <w:sz w:val="24"/>
                <w:szCs w:val="24"/>
                <w:lang w:eastAsia="zh-CN"/>
                <w14:textFill>
                  <w14:solidFill>
                    <w14:schemeClr w14:val="tx1"/>
                  </w14:solidFill>
                </w14:textFill>
              </w:rPr>
              <w:t>一般固废间</w:t>
            </w:r>
            <w:r>
              <w:rPr>
                <w:rFonts w:hint="eastAsia"/>
                <w:color w:val="000000" w:themeColor="text1"/>
                <w:sz w:val="24"/>
                <w:szCs w:val="24"/>
                <w:lang w:eastAsia="zh-CN"/>
                <w14:textFill>
                  <w14:solidFill>
                    <w14:schemeClr w14:val="tx1"/>
                  </w14:solidFill>
                </w14:textFill>
              </w:rPr>
              <w:t>，</w:t>
            </w:r>
            <w:r>
              <w:rPr>
                <w:rFonts w:hint="default"/>
                <w:color w:val="000000" w:themeColor="text1"/>
                <w:sz w:val="24"/>
                <w:szCs w:val="24"/>
                <w:lang w:eastAsia="zh-CN"/>
                <w14:textFill>
                  <w14:solidFill>
                    <w14:schemeClr w14:val="tx1"/>
                  </w14:solidFill>
                </w14:textFill>
              </w:rPr>
              <w:t>危废暂存间</w:t>
            </w:r>
            <w:r>
              <w:rPr>
                <w:rFonts w:hint="eastAsia"/>
                <w:color w:val="000000" w:themeColor="text1"/>
                <w:sz w:val="24"/>
                <w:szCs w:val="24"/>
                <w:lang w:eastAsia="zh-CN"/>
                <w14:textFill>
                  <w14:solidFill>
                    <w14:schemeClr w14:val="tx1"/>
                  </w14:solidFill>
                </w14:textFill>
              </w:rPr>
              <w:t>，</w:t>
            </w:r>
            <w:r>
              <w:rPr>
                <w:rFonts w:hint="default"/>
                <w:color w:val="000000" w:themeColor="text1"/>
                <w:sz w:val="24"/>
                <w:szCs w:val="24"/>
                <w:lang w:eastAsia="zh-CN"/>
                <w14:textFill>
                  <w14:solidFill>
                    <w14:schemeClr w14:val="tx1"/>
                  </w14:solidFill>
                </w14:textFill>
              </w:rPr>
              <w:t>动物尸体暂存房</w:t>
            </w:r>
            <w:r>
              <w:rPr>
                <w:rFonts w:hint="eastAsia"/>
                <w:color w:val="000000" w:themeColor="text1"/>
                <w:sz w:val="24"/>
                <w:szCs w:val="24"/>
                <w14:textFill>
                  <w14:solidFill>
                    <w14:schemeClr w14:val="tx1"/>
                  </w14:solidFill>
                </w14:textFill>
              </w:rPr>
              <w:t>验收期间各</w:t>
            </w:r>
            <w:r>
              <w:rPr>
                <w:rFonts w:hint="eastAsia"/>
                <w:color w:val="000000" w:themeColor="text1"/>
                <w:sz w:val="24"/>
                <w:szCs w:val="24"/>
                <w:lang w:eastAsia="zh-CN"/>
                <w14:textFill>
                  <w14:solidFill>
                    <w14:schemeClr w14:val="tx1"/>
                  </w14:solidFill>
                </w14:textFill>
              </w:rPr>
              <w:t>项</w:t>
            </w:r>
            <w:r>
              <w:rPr>
                <w:rFonts w:hint="eastAsia"/>
                <w:color w:val="000000" w:themeColor="text1"/>
                <w:sz w:val="24"/>
                <w:szCs w:val="24"/>
                <w14:textFill>
                  <w14:solidFill>
                    <w14:schemeClr w14:val="tx1"/>
                  </w14:solidFill>
                </w14:textFill>
              </w:rPr>
              <w:t>环保设施正常运转。</w:t>
            </w:r>
          </w:p>
          <w:p>
            <w:pPr>
              <w:spacing w:line="360" w:lineRule="auto"/>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3.2.3 其他环境保护设施</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具体的环保投资见表3-2。</w:t>
            </w:r>
          </w:p>
          <w:p>
            <w:pPr>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表3-2 环保投资项目</w:t>
            </w:r>
          </w:p>
          <w:tbl>
            <w:tblPr>
              <w:tblStyle w:val="30"/>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5"/>
              <w:gridCol w:w="3234"/>
              <w:gridCol w:w="3217"/>
              <w:gridCol w:w="838"/>
              <w:gridCol w:w="93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6" w:type="pct"/>
                  <w:vAlign w:val="center"/>
                </w:tcPr>
                <w:p>
                  <w:pPr>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产污</w:t>
                  </w:r>
                </w:p>
                <w:p>
                  <w:pPr>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环节</w:t>
                  </w:r>
                </w:p>
              </w:tc>
              <w:tc>
                <w:tcPr>
                  <w:tcW w:w="1783" w:type="pct"/>
                  <w:vAlign w:val="center"/>
                </w:tcPr>
                <w:p>
                  <w:pPr>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环评治理措施</w:t>
                  </w:r>
                </w:p>
              </w:tc>
              <w:tc>
                <w:tcPr>
                  <w:tcW w:w="1774" w:type="pct"/>
                  <w:vAlign w:val="center"/>
                </w:tcPr>
                <w:p>
                  <w:pPr>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实际治理措施</w:t>
                  </w:r>
                </w:p>
              </w:tc>
              <w:tc>
                <w:tcPr>
                  <w:tcW w:w="462" w:type="pct"/>
                  <w:vAlign w:val="center"/>
                </w:tcPr>
                <w:p>
                  <w:pPr>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项目环保投资估算（万元）</w:t>
                  </w:r>
                </w:p>
              </w:tc>
              <w:tc>
                <w:tcPr>
                  <w:tcW w:w="514" w:type="pct"/>
                  <w:vAlign w:val="center"/>
                </w:tcPr>
                <w:p>
                  <w:pPr>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项目实际投资金额（万元）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6" w:type="pct"/>
                  <w:vAlign w:val="center"/>
                </w:tcPr>
                <w:p>
                  <w:pPr>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废气</w:t>
                  </w:r>
                </w:p>
              </w:tc>
              <w:tc>
                <w:tcPr>
                  <w:tcW w:w="1783" w:type="pct"/>
                  <w:vAlign w:val="center"/>
                </w:tcPr>
                <w:p>
                  <w:pPr>
                    <w:pStyle w:val="5"/>
                    <w:tabs>
                      <w:tab w:val="left" w:pos="1036"/>
                    </w:tabs>
                    <w:snapToGrid w:val="0"/>
                    <w:ind w:firstLine="0" w:firstLineChars="0"/>
                    <w:jc w:val="center"/>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负压收集+63m高排气筒</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通风橱+63m高排气筒</w:t>
                  </w:r>
                </w:p>
              </w:tc>
              <w:tc>
                <w:tcPr>
                  <w:tcW w:w="3217" w:type="dxa"/>
                  <w:vAlign w:val="center"/>
                </w:tcPr>
                <w:p>
                  <w:pPr>
                    <w:pStyle w:val="5"/>
                    <w:tabs>
                      <w:tab w:val="left" w:pos="1036"/>
                    </w:tabs>
                    <w:snapToGrid w:val="0"/>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负压收集+</w:t>
                  </w:r>
                  <w:r>
                    <w:rPr>
                      <w:rFonts w:hint="eastAsia" w:cs="Times New Roman"/>
                      <w:color w:val="000000" w:themeColor="text1"/>
                      <w:sz w:val="21"/>
                      <w:szCs w:val="21"/>
                      <w:lang w:val="en-US" w:eastAsia="zh-CN"/>
                      <w14:textFill>
                        <w14:solidFill>
                          <w14:schemeClr w14:val="tx1"/>
                        </w14:solidFill>
                      </w14:textFill>
                    </w:rPr>
                    <w:t>70</w:t>
                  </w:r>
                  <w:r>
                    <w:rPr>
                      <w:rFonts w:hint="default" w:ascii="Times New Roman" w:hAnsi="Times New Roman" w:eastAsia="宋体" w:cs="Times New Roman"/>
                      <w:color w:val="000000" w:themeColor="text1"/>
                      <w:sz w:val="21"/>
                      <w:szCs w:val="21"/>
                      <w14:textFill>
                        <w14:solidFill>
                          <w14:schemeClr w14:val="tx1"/>
                        </w14:solidFill>
                      </w14:textFill>
                    </w:rPr>
                    <w:t>m高排气筒</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通风橱+</w:t>
                  </w:r>
                  <w:r>
                    <w:rPr>
                      <w:rFonts w:hint="eastAsia" w:cs="Times New Roman"/>
                      <w:color w:val="000000" w:themeColor="text1"/>
                      <w:sz w:val="21"/>
                      <w:szCs w:val="21"/>
                      <w:lang w:val="en-US" w:eastAsia="zh-CN"/>
                      <w14:textFill>
                        <w14:solidFill>
                          <w14:schemeClr w14:val="tx1"/>
                        </w14:solidFill>
                      </w14:textFill>
                    </w:rPr>
                    <w:t>70</w:t>
                  </w:r>
                  <w:r>
                    <w:rPr>
                      <w:rFonts w:hint="default" w:ascii="Times New Roman" w:hAnsi="Times New Roman" w:eastAsia="宋体" w:cs="Times New Roman"/>
                      <w:color w:val="000000" w:themeColor="text1"/>
                      <w:sz w:val="21"/>
                      <w:szCs w:val="21"/>
                      <w14:textFill>
                        <w14:solidFill>
                          <w14:schemeClr w14:val="tx1"/>
                        </w14:solidFill>
                      </w14:textFill>
                    </w:rPr>
                    <w:t>m高排气筒</w:t>
                  </w:r>
                </w:p>
              </w:tc>
              <w:tc>
                <w:tcPr>
                  <w:tcW w:w="462" w:type="pct"/>
                  <w:vAlign w:val="center"/>
                </w:tcPr>
                <w:p>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10</w:t>
                  </w:r>
                </w:p>
              </w:tc>
              <w:tc>
                <w:tcPr>
                  <w:tcW w:w="932" w:type="dxa"/>
                  <w:vAlign w:val="center"/>
                </w:tcPr>
                <w:p>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466" w:type="pct"/>
                  <w:vAlign w:val="center"/>
                </w:tcPr>
                <w:p>
                  <w:pPr>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废水</w:t>
                  </w:r>
                </w:p>
              </w:tc>
              <w:tc>
                <w:tcPr>
                  <w:tcW w:w="1783"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/d化粪池、2m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/d（污水调节+厌氧生化+兼氧生化+好氧生化+沉淀池+消毒池）组合工艺</w:t>
                  </w:r>
                </w:p>
              </w:tc>
              <w:tc>
                <w:tcPr>
                  <w:tcW w:w="32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/d化粪池、2m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/d（污水调节+厌氧生化+兼氧生化+好氧生化+沉淀池+消毒池）组合工艺</w:t>
                  </w:r>
                </w:p>
              </w:tc>
              <w:tc>
                <w:tcPr>
                  <w:tcW w:w="462" w:type="pct"/>
                  <w:vAlign w:val="center"/>
                </w:tcPr>
                <w:p>
                  <w:pPr>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20</w:t>
                  </w:r>
                </w:p>
              </w:tc>
              <w:tc>
                <w:tcPr>
                  <w:tcW w:w="932" w:type="dxa"/>
                  <w:vAlign w:val="center"/>
                </w:tcPr>
                <w:p>
                  <w:pPr>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2</w:t>
                  </w:r>
                  <w:r>
                    <w:rPr>
                      <w:rFonts w:hint="eastAsia" w:ascii="Times New Roman" w:hAnsi="Times New Roman" w:cs="Times New Roman"/>
                      <w:b w:val="0"/>
                      <w:bCs/>
                      <w:color w:val="000000" w:themeColor="text1"/>
                      <w:kern w:val="2"/>
                      <w:sz w:val="21"/>
                      <w:szCs w:val="21"/>
                      <w:lang w:val="en-US" w:eastAsia="zh-CN" w:bidi="ar-SA"/>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466" w:type="pct"/>
                  <w:vAlign w:val="center"/>
                </w:tcPr>
                <w:p>
                  <w:pPr>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噪声</w:t>
                  </w:r>
                </w:p>
              </w:tc>
              <w:tc>
                <w:tcPr>
                  <w:tcW w:w="1783" w:type="pct"/>
                  <w:vAlign w:val="center"/>
                </w:tcPr>
                <w:p>
                  <w:pPr>
                    <w:snapToGrid w:val="0"/>
                    <w:spacing w:line="240" w:lineRule="auto"/>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t>采取消声、减震、隔声等措施</w:t>
                  </w:r>
                </w:p>
              </w:tc>
              <w:tc>
                <w:tcPr>
                  <w:tcW w:w="1774" w:type="pct"/>
                  <w:vAlign w:val="center"/>
                </w:tcPr>
                <w:p>
                  <w:pPr>
                    <w:widowControl w:val="0"/>
                    <w:snapToGrid w:val="0"/>
                    <w:spacing w:line="240" w:lineRule="auto"/>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t>采取消声、减震、隔声等措施</w:t>
                  </w:r>
                </w:p>
              </w:tc>
              <w:tc>
                <w:tcPr>
                  <w:tcW w:w="462" w:type="pct"/>
                  <w:vAlign w:val="center"/>
                </w:tcPr>
                <w:p>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4</w:t>
                  </w:r>
                </w:p>
              </w:tc>
              <w:tc>
                <w:tcPr>
                  <w:tcW w:w="932" w:type="dxa"/>
                  <w:vAlign w:val="center"/>
                </w:tcPr>
                <w:p>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6" w:type="pct"/>
                  <w:vAlign w:val="center"/>
                </w:tcPr>
                <w:p>
                  <w:pPr>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固废</w:t>
                  </w:r>
                </w:p>
              </w:tc>
              <w:tc>
                <w:tcPr>
                  <w:tcW w:w="1783" w:type="pct"/>
                  <w:vAlign w:val="center"/>
                </w:tcPr>
                <w:p>
                  <w:pPr>
                    <w:topLinePunct/>
                    <w:jc w:val="center"/>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snapToGrid w:val="0"/>
                      <w:color w:val="000000" w:themeColor="text1"/>
                      <w:spacing w:val="4"/>
                      <w:kern w:val="0"/>
                      <w:sz w:val="21"/>
                      <w:szCs w:val="21"/>
                      <w:highlight w:val="none"/>
                      <w14:textFill>
                        <w14:solidFill>
                          <w14:schemeClr w14:val="tx1"/>
                        </w14:solidFill>
                      </w14:textFill>
                    </w:rPr>
                    <w:t>一般固废间</w:t>
                  </w:r>
                  <w:r>
                    <w:rPr>
                      <w:rFonts w:hint="default" w:ascii="Times New Roman" w:hAnsi="Times New Roman" w:eastAsia="宋体" w:cs="Times New Roman"/>
                      <w:bCs/>
                      <w:snapToGrid w:val="0"/>
                      <w:color w:val="000000" w:themeColor="text1"/>
                      <w:spacing w:val="4"/>
                      <w:kern w:val="0"/>
                      <w:sz w:val="21"/>
                      <w:szCs w:val="21"/>
                      <w:highlight w:val="none"/>
                      <w:lang w:eastAsia="zh-CN"/>
                      <w14:textFill>
                        <w14:solidFill>
                          <w14:schemeClr w14:val="tx1"/>
                        </w14:solidFill>
                      </w14:textFill>
                    </w:rPr>
                    <w:t>、</w:t>
                  </w:r>
                  <w:r>
                    <w:rPr>
                      <w:rFonts w:hint="default" w:ascii="Times New Roman" w:hAnsi="Times New Roman" w:eastAsia="宋体" w:cs="Times New Roman"/>
                      <w:bCs/>
                      <w:snapToGrid w:val="0"/>
                      <w:color w:val="000000" w:themeColor="text1"/>
                      <w:spacing w:val="4"/>
                      <w:kern w:val="0"/>
                      <w:sz w:val="21"/>
                      <w:szCs w:val="21"/>
                      <w:highlight w:val="none"/>
                      <w14:textFill>
                        <w14:solidFill>
                          <w14:schemeClr w14:val="tx1"/>
                        </w14:solidFill>
                      </w14:textFill>
                    </w:rPr>
                    <w:t>危废暂存间</w:t>
                  </w:r>
                  <w:r>
                    <w:rPr>
                      <w:rFonts w:hint="default" w:ascii="Times New Roman" w:hAnsi="Times New Roman" w:eastAsia="宋体" w:cs="Times New Roman"/>
                      <w:bCs/>
                      <w:snapToGrid w:val="0"/>
                      <w:color w:val="000000" w:themeColor="text1"/>
                      <w:spacing w:val="4"/>
                      <w:kern w:val="0"/>
                      <w:sz w:val="21"/>
                      <w:szCs w:val="21"/>
                      <w:highlight w:val="none"/>
                      <w:lang w:eastAsia="zh-CN"/>
                      <w14:textFill>
                        <w14:solidFill>
                          <w14:schemeClr w14:val="tx1"/>
                        </w14:solidFill>
                      </w14:textFill>
                    </w:rPr>
                    <w:t>、</w:t>
                  </w:r>
                  <w:r>
                    <w:rPr>
                      <w:rFonts w:hint="default" w:ascii="Times New Roman" w:hAnsi="Times New Roman" w:eastAsia="宋体" w:cs="Times New Roman"/>
                      <w:bCs/>
                      <w:snapToGrid w:val="0"/>
                      <w:color w:val="000000" w:themeColor="text1"/>
                      <w:spacing w:val="4"/>
                      <w:kern w:val="0"/>
                      <w:sz w:val="21"/>
                      <w:szCs w:val="21"/>
                      <w:highlight w:val="none"/>
                      <w14:textFill>
                        <w14:solidFill>
                          <w14:schemeClr w14:val="tx1"/>
                        </w14:solidFill>
                      </w14:textFill>
                    </w:rPr>
                    <w:t>动物尸体暂存房</w:t>
                  </w:r>
                </w:p>
              </w:tc>
              <w:tc>
                <w:tcPr>
                  <w:tcW w:w="1774" w:type="pct"/>
                  <w:vAlign w:val="center"/>
                </w:tcPr>
                <w:p>
                  <w:pPr>
                    <w:keepNext w:val="0"/>
                    <w:keepLines w:val="0"/>
                    <w:pageBreakBefore w:val="0"/>
                    <w:widowControl w:val="0"/>
                    <w:kinsoku/>
                    <w:wordWrap/>
                    <w:overflowPunct/>
                    <w:topLinePunct/>
                    <w:autoSpaceDE/>
                    <w:autoSpaceDN/>
                    <w:bidi w:val="0"/>
                    <w:adjustRightInd/>
                    <w:snapToGrid/>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Cs/>
                      <w:snapToGrid w:val="0"/>
                      <w:color w:val="000000" w:themeColor="text1"/>
                      <w:spacing w:val="4"/>
                      <w:kern w:val="0"/>
                      <w:sz w:val="21"/>
                      <w:szCs w:val="21"/>
                      <w:highlight w:val="none"/>
                      <w14:textFill>
                        <w14:solidFill>
                          <w14:schemeClr w14:val="tx1"/>
                        </w14:solidFill>
                      </w14:textFill>
                    </w:rPr>
                    <w:t>一般固废间</w:t>
                  </w:r>
                  <w:r>
                    <w:rPr>
                      <w:rFonts w:hint="default" w:ascii="Times New Roman" w:hAnsi="Times New Roman" w:eastAsia="宋体" w:cs="Times New Roman"/>
                      <w:bCs/>
                      <w:snapToGrid w:val="0"/>
                      <w:color w:val="000000" w:themeColor="text1"/>
                      <w:spacing w:val="4"/>
                      <w:kern w:val="0"/>
                      <w:sz w:val="21"/>
                      <w:szCs w:val="21"/>
                      <w:highlight w:val="none"/>
                      <w:lang w:eastAsia="zh-CN"/>
                      <w14:textFill>
                        <w14:solidFill>
                          <w14:schemeClr w14:val="tx1"/>
                        </w14:solidFill>
                      </w14:textFill>
                    </w:rPr>
                    <w:t>、</w:t>
                  </w:r>
                  <w:r>
                    <w:rPr>
                      <w:rFonts w:hint="default" w:ascii="Times New Roman" w:hAnsi="Times New Roman" w:eastAsia="宋体" w:cs="Times New Roman"/>
                      <w:bCs/>
                      <w:snapToGrid w:val="0"/>
                      <w:color w:val="000000" w:themeColor="text1"/>
                      <w:spacing w:val="4"/>
                      <w:kern w:val="0"/>
                      <w:sz w:val="21"/>
                      <w:szCs w:val="21"/>
                      <w:highlight w:val="none"/>
                      <w14:textFill>
                        <w14:solidFill>
                          <w14:schemeClr w14:val="tx1"/>
                        </w14:solidFill>
                      </w14:textFill>
                    </w:rPr>
                    <w:t>危废暂存间</w:t>
                  </w:r>
                  <w:r>
                    <w:rPr>
                      <w:rFonts w:hint="default" w:ascii="Times New Roman" w:hAnsi="Times New Roman" w:eastAsia="宋体" w:cs="Times New Roman"/>
                      <w:bCs/>
                      <w:snapToGrid w:val="0"/>
                      <w:color w:val="000000" w:themeColor="text1"/>
                      <w:spacing w:val="4"/>
                      <w:kern w:val="0"/>
                      <w:sz w:val="21"/>
                      <w:szCs w:val="21"/>
                      <w:highlight w:val="none"/>
                      <w:lang w:eastAsia="zh-CN"/>
                      <w14:textFill>
                        <w14:solidFill>
                          <w14:schemeClr w14:val="tx1"/>
                        </w14:solidFill>
                      </w14:textFill>
                    </w:rPr>
                    <w:t>、</w:t>
                  </w:r>
                  <w:r>
                    <w:rPr>
                      <w:rFonts w:hint="default" w:ascii="Times New Roman" w:hAnsi="Times New Roman" w:eastAsia="宋体" w:cs="Times New Roman"/>
                      <w:bCs/>
                      <w:snapToGrid w:val="0"/>
                      <w:color w:val="000000" w:themeColor="text1"/>
                      <w:spacing w:val="4"/>
                      <w:kern w:val="0"/>
                      <w:sz w:val="21"/>
                      <w:szCs w:val="21"/>
                      <w:highlight w:val="none"/>
                      <w14:textFill>
                        <w14:solidFill>
                          <w14:schemeClr w14:val="tx1"/>
                        </w14:solidFill>
                      </w14:textFill>
                    </w:rPr>
                    <w:t>动物尸体暂存房</w:t>
                  </w:r>
                </w:p>
              </w:tc>
              <w:tc>
                <w:tcPr>
                  <w:tcW w:w="462" w:type="pct"/>
                  <w:vAlign w:val="center"/>
                </w:tcPr>
                <w:p>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10</w:t>
                  </w:r>
                </w:p>
              </w:tc>
              <w:tc>
                <w:tcPr>
                  <w:tcW w:w="932" w:type="dxa"/>
                  <w:vAlign w:val="center"/>
                </w:tcPr>
                <w:p>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6" w:type="pct"/>
                  <w:vAlign w:val="center"/>
                </w:tcPr>
                <w:p>
                  <w:pPr>
                    <w:topLinePunct/>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地下水</w:t>
                  </w:r>
                </w:p>
              </w:tc>
              <w:tc>
                <w:tcPr>
                  <w:tcW w:w="1783" w:type="pct"/>
                  <w:vAlign w:val="center"/>
                </w:tcPr>
                <w:p>
                  <w:pPr>
                    <w:topLinePunc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将全厂划分为重点防渗区、一般防渗和简单防渗区，各区域分别采用相应的防治措施。</w:t>
                  </w:r>
                </w:p>
              </w:tc>
              <w:tc>
                <w:tcPr>
                  <w:tcW w:w="1774" w:type="pct"/>
                  <w:vAlign w:val="center"/>
                </w:tcPr>
                <w:p>
                  <w:pPr>
                    <w:topLinePunc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color w:val="000000" w:themeColor="text1"/>
                      <w:szCs w:val="21"/>
                      <w:highlight w:val="none"/>
                      <w14:textFill>
                        <w14:solidFill>
                          <w14:schemeClr w14:val="tx1"/>
                        </w14:solidFill>
                      </w14:textFill>
                    </w:rPr>
                    <w:t>重点防渗区（动物尸体</w:t>
                  </w:r>
                  <w:r>
                    <w:rPr>
                      <w:rFonts w:hint="eastAsia"/>
                      <w:color w:val="000000" w:themeColor="text1"/>
                      <w:szCs w:val="21"/>
                      <w:highlight w:val="none"/>
                      <w14:textFill>
                        <w14:solidFill>
                          <w14:schemeClr w14:val="tx1"/>
                        </w14:solidFill>
                      </w14:textFill>
                    </w:rPr>
                    <w:t>暂存</w:t>
                  </w:r>
                  <w:r>
                    <w:rPr>
                      <w:color w:val="000000" w:themeColor="text1"/>
                      <w:szCs w:val="21"/>
                      <w:highlight w:val="none"/>
                      <w14:textFill>
                        <w14:solidFill>
                          <w14:schemeClr w14:val="tx1"/>
                        </w14:solidFill>
                      </w14:textFill>
                    </w:rPr>
                    <w:t>房、危废暂存间、</w:t>
                  </w:r>
                  <w:r>
                    <w:rPr>
                      <w:rFonts w:hint="eastAsia"/>
                      <w:color w:val="000000" w:themeColor="text1"/>
                      <w:szCs w:val="21"/>
                      <w:highlight w:val="none"/>
                      <w14:textFill>
                        <w14:solidFill>
                          <w14:schemeClr w14:val="tx1"/>
                        </w14:solidFill>
                      </w14:textFill>
                    </w:rPr>
                    <w:t>污水处理设施</w:t>
                  </w:r>
                  <w:r>
                    <w:rPr>
                      <w:color w:val="000000" w:themeColor="text1"/>
                      <w:szCs w:val="21"/>
                      <w:highlight w:val="none"/>
                      <w14:textFill>
                        <w14:solidFill>
                          <w14:schemeClr w14:val="tx1"/>
                        </w14:solidFill>
                      </w14:textFill>
                    </w:rPr>
                    <w:t>）、一般防渗区（一般固废间、化粪池）和简单防渗区（其他区域）</w:t>
                  </w:r>
                </w:p>
              </w:tc>
              <w:tc>
                <w:tcPr>
                  <w:tcW w:w="462" w:type="pct"/>
                  <w:vAlign w:val="center"/>
                </w:tcPr>
                <w:p>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6</w:t>
                  </w:r>
                </w:p>
              </w:tc>
              <w:tc>
                <w:tcPr>
                  <w:tcW w:w="932" w:type="dxa"/>
                  <w:vAlign w:val="center"/>
                </w:tcPr>
                <w:p>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23" w:type="pct"/>
                  <w:gridSpan w:val="3"/>
                  <w:vAlign w:val="center"/>
                </w:tcPr>
                <w:p>
                  <w:pPr>
                    <w:topLinePunc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合计</w:t>
                  </w:r>
                </w:p>
              </w:tc>
              <w:tc>
                <w:tcPr>
                  <w:tcW w:w="462" w:type="pct"/>
                  <w:vAlign w:val="center"/>
                </w:tcPr>
                <w:p>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50</w:t>
                  </w:r>
                </w:p>
              </w:tc>
              <w:tc>
                <w:tcPr>
                  <w:tcW w:w="514" w:type="pct"/>
                  <w:vAlign w:val="center"/>
                </w:tcPr>
                <w:p>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55</w:t>
                  </w:r>
                </w:p>
              </w:tc>
            </w:tr>
          </w:tbl>
          <w:p>
            <w:pPr>
              <w:spacing w:line="360" w:lineRule="auto"/>
              <w:rPr>
                <w:rFonts w:hint="eastAsia"/>
                <w:bCs/>
                <w:color w:val="000000" w:themeColor="text1"/>
                <w:sz w:val="24"/>
                <w:lang w:eastAsia="zh-CN"/>
                <w14:textFill>
                  <w14:solidFill>
                    <w14:schemeClr w14:val="tx1"/>
                  </w14:solidFill>
                </w14:textFill>
              </w:rPr>
            </w:pPr>
          </w:p>
          <w:p>
            <w:pPr>
              <w:spacing w:line="360" w:lineRule="auto"/>
              <w:rPr>
                <w:rFonts w:hint="eastAsia" w:eastAsia="宋体"/>
                <w:bCs/>
                <w:color w:val="000000" w:themeColor="text1"/>
                <w:sz w:val="24"/>
                <w:lang w:eastAsia="zh-CN"/>
                <w14:textFill>
                  <w14:solidFill>
                    <w14:schemeClr w14:val="tx1"/>
                  </w14:solidFill>
                </w14:textFill>
              </w:rPr>
            </w:pPr>
          </w:p>
        </w:tc>
      </w:tr>
    </w:tbl>
    <w:p>
      <w:pPr>
        <w:pStyle w:val="3"/>
        <w:rPr>
          <w:b w:val="0"/>
          <w:bCs/>
          <w:color w:val="000000" w:themeColor="text1"/>
          <w:szCs w:val="24"/>
          <w:highlight w:val="none"/>
          <w14:textFill>
            <w14:solidFill>
              <w14:schemeClr w14:val="tx1"/>
            </w14:solidFill>
          </w14:textFill>
        </w:rPr>
      </w:pPr>
      <w:bookmarkStart w:id="4" w:name="_Toc523906058"/>
      <w:r>
        <w:rPr>
          <w:color w:val="000000" w:themeColor="text1"/>
          <w:highlight w:val="none"/>
          <w14:textFill>
            <w14:solidFill>
              <w14:schemeClr w14:val="tx1"/>
            </w14:solidFill>
          </w14:textFill>
        </w:rPr>
        <w:t>表</w:t>
      </w:r>
      <w:r>
        <w:rPr>
          <w:rFonts w:hint="eastAsia"/>
          <w:color w:val="000000" w:themeColor="text1"/>
          <w:highlight w:val="none"/>
          <w14:textFill>
            <w14:solidFill>
              <w14:schemeClr w14:val="tx1"/>
            </w14:solidFill>
          </w14:textFill>
        </w:rPr>
        <w:t>四</w:t>
      </w:r>
      <w:r>
        <w:rPr>
          <w:color w:val="000000" w:themeColor="text1"/>
          <w:highlight w:val="non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环境影响报告表主要结论与建议及其审批部门审批决定</w:t>
      </w:r>
      <w:bookmarkEnd w:id="4"/>
    </w:p>
    <w:tbl>
      <w:tblPr>
        <w:tblStyle w:val="29"/>
        <w:tblW w:w="92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3" w:hRule="atLeast"/>
        </w:trPr>
        <w:tc>
          <w:tcPr>
            <w:tcW w:w="9247" w:type="dxa"/>
            <w:shd w:val="clear" w:color="auto" w:fill="auto"/>
          </w:tcPr>
          <w:p>
            <w:pPr>
              <w:keepNext w:val="0"/>
              <w:keepLines w:val="0"/>
              <w:pageBreakBefore w:val="0"/>
              <w:widowControl w:val="0"/>
              <w:kinsoku/>
              <w:wordWrap/>
              <w:overflowPunct/>
              <w:topLinePunct w:val="0"/>
              <w:autoSpaceDE/>
              <w:autoSpaceDN/>
              <w:bidi w:val="0"/>
              <w:spacing w:line="360" w:lineRule="auto"/>
              <w:textAlignment w:val="auto"/>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4.1 建设项目环境影响报告表的主要结论与建议</w:t>
            </w:r>
          </w:p>
          <w:p>
            <w:pPr>
              <w:keepNext w:val="0"/>
              <w:keepLines w:val="0"/>
              <w:pageBreakBefore w:val="0"/>
              <w:widowControl w:val="0"/>
              <w:kinsoku/>
              <w:wordWrap/>
              <w:overflowPunct/>
              <w:topLinePunct w:val="0"/>
              <w:autoSpaceDE/>
              <w:autoSpaceDN/>
              <w:bidi w:val="0"/>
              <w:spacing w:line="360" w:lineRule="auto"/>
              <w:textAlignment w:val="auto"/>
              <w:rPr>
                <w:rFonts w:hint="eastAsia" w:eastAsia="宋体"/>
                <w:b/>
                <w:color w:val="000000" w:themeColor="text1"/>
                <w:kern w:val="0"/>
                <w:sz w:val="24"/>
                <w:lang w:eastAsia="zh-CN"/>
                <w14:textFill>
                  <w14:solidFill>
                    <w14:schemeClr w14:val="tx1"/>
                  </w14:solidFill>
                </w14:textFill>
              </w:rPr>
            </w:pPr>
            <w:r>
              <w:rPr>
                <w:rFonts w:hint="eastAsia"/>
                <w:b/>
                <w:color w:val="000000" w:themeColor="text1"/>
                <w:kern w:val="0"/>
                <w:sz w:val="24"/>
                <w14:textFill>
                  <w14:solidFill>
                    <w14:schemeClr w14:val="tx1"/>
                  </w14:solidFill>
                </w14:textFill>
              </w:rPr>
              <w:t>4.1.</w:t>
            </w:r>
            <w:r>
              <w:rPr>
                <w:rFonts w:hint="eastAsia"/>
                <w:b/>
                <w:color w:val="000000" w:themeColor="text1"/>
                <w:kern w:val="0"/>
                <w:sz w:val="24"/>
                <w:lang w:val="en-US" w:eastAsia="zh-CN"/>
                <w14:textFill>
                  <w14:solidFill>
                    <w14:schemeClr w14:val="tx1"/>
                  </w14:solidFill>
                </w14:textFill>
              </w:rPr>
              <w:t>1</w:t>
            </w:r>
            <w:r>
              <w:rPr>
                <w:rFonts w:hint="eastAsia"/>
                <w:b/>
                <w:color w:val="000000" w:themeColor="text1"/>
                <w:kern w:val="0"/>
                <w:sz w:val="24"/>
                <w14:textFill>
                  <w14:solidFill>
                    <w14:schemeClr w14:val="tx1"/>
                  </w14:solidFill>
                </w14:textFill>
              </w:rPr>
              <w:t xml:space="preserve">  废水污染防治</w:t>
            </w:r>
            <w:r>
              <w:rPr>
                <w:rFonts w:hint="eastAsia"/>
                <w:b/>
                <w:color w:val="000000" w:themeColor="text1"/>
                <w:kern w:val="0"/>
                <w:sz w:val="24"/>
                <w:lang w:eastAsia="zh-CN"/>
                <w14:textFill>
                  <w14:solidFill>
                    <w14:schemeClr w14:val="tx1"/>
                  </w14:solidFill>
                </w14:textFill>
              </w:rPr>
              <w:t>要求</w:t>
            </w:r>
          </w:p>
          <w:p>
            <w:pPr>
              <w:pStyle w:val="132"/>
              <w:adjustRightInd w:val="0"/>
              <w:snapToGrid w:val="0"/>
              <w:ind w:firstLine="496" w:firstLineChars="20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本项目清洗废水经</w:t>
            </w:r>
            <w:r>
              <w:rPr>
                <w:rFonts w:hint="eastAsia" w:ascii="Times New Roman" w:hAnsi="Times New Roman"/>
                <w:color w:val="000000" w:themeColor="text1"/>
                <w:highlight w:val="none"/>
                <w14:textFill>
                  <w14:solidFill>
                    <w14:schemeClr w14:val="tx1"/>
                  </w14:solidFill>
                </w14:textFill>
              </w:rPr>
              <w:t>管道收集后排入</w:t>
            </w:r>
            <w:r>
              <w:rPr>
                <w:rFonts w:ascii="Times New Roman" w:hAnsi="Times New Roman"/>
                <w:color w:val="000000" w:themeColor="text1"/>
                <w:highlight w:val="none"/>
                <w14:textFill>
                  <w14:solidFill>
                    <w14:schemeClr w14:val="tx1"/>
                  </w14:solidFill>
                </w14:textFill>
              </w:rPr>
              <w:t>“污水调节+厌氧生化+兼氧生化+好氧生化+沉淀池+消毒池”组合工艺处理，生活污水、地面拖洗废水经</w:t>
            </w:r>
            <w:r>
              <w:rPr>
                <w:rFonts w:hint="eastAsia" w:ascii="Times New Roman" w:hAnsi="Times New Roman"/>
                <w:color w:val="000000" w:themeColor="text1"/>
                <w:highlight w:val="none"/>
                <w14:textFill>
                  <w14:solidFill>
                    <w14:schemeClr w14:val="tx1"/>
                  </w14:solidFill>
                </w14:textFill>
              </w:rPr>
              <w:t>管道收集后由</w:t>
            </w:r>
            <w:r>
              <w:rPr>
                <w:rFonts w:ascii="Times New Roman" w:hAnsi="Times New Roman"/>
                <w:color w:val="000000" w:themeColor="text1"/>
                <w:highlight w:val="none"/>
                <w14:textFill>
                  <w14:solidFill>
                    <w14:schemeClr w14:val="tx1"/>
                  </w14:solidFill>
                </w14:textFill>
              </w:rPr>
              <w:t>化粪池预处理，两股废水分别处理达到达到瑶湖污水处理厂接管标准和《医疗机构水污染物排放标准》（GB18466-2005）表2中预处理标准从严值后一并由市政污水管网排入瑶湖污水处理厂深度处理；清下水由市政污水管网直接排入瑶湖污水处理厂，尾水排入赣江南支。</w:t>
            </w:r>
          </w:p>
          <w:p>
            <w:pPr>
              <w:keepNext w:val="0"/>
              <w:keepLines w:val="0"/>
              <w:pageBreakBefore w:val="0"/>
              <w:widowControl w:val="0"/>
              <w:kinsoku/>
              <w:wordWrap/>
              <w:overflowPunct/>
              <w:topLinePunct w:val="0"/>
              <w:autoSpaceDE/>
              <w:autoSpaceDN/>
              <w:bidi w:val="0"/>
              <w:spacing w:line="360" w:lineRule="auto"/>
              <w:textAlignment w:val="auto"/>
              <w:rPr>
                <w:rFonts w:hint="eastAsia" w:eastAsia="宋体"/>
                <w:b/>
                <w:color w:val="000000" w:themeColor="text1"/>
                <w:kern w:val="0"/>
                <w:sz w:val="24"/>
                <w:lang w:eastAsia="zh-CN"/>
                <w14:textFill>
                  <w14:solidFill>
                    <w14:schemeClr w14:val="tx1"/>
                  </w14:solidFill>
                </w14:textFill>
              </w:rPr>
            </w:pPr>
            <w:r>
              <w:rPr>
                <w:rFonts w:hint="eastAsia"/>
                <w:b/>
                <w:color w:val="000000" w:themeColor="text1"/>
                <w:kern w:val="0"/>
                <w:sz w:val="24"/>
                <w14:textFill>
                  <w14:solidFill>
                    <w14:schemeClr w14:val="tx1"/>
                  </w14:solidFill>
                </w14:textFill>
              </w:rPr>
              <w:t>4.1.</w:t>
            </w:r>
            <w:r>
              <w:rPr>
                <w:rFonts w:hint="eastAsia"/>
                <w:b/>
                <w:color w:val="000000" w:themeColor="text1"/>
                <w:kern w:val="0"/>
                <w:sz w:val="24"/>
                <w:lang w:val="en-US" w:eastAsia="zh-CN"/>
                <w14:textFill>
                  <w14:solidFill>
                    <w14:schemeClr w14:val="tx1"/>
                  </w14:solidFill>
                </w14:textFill>
              </w:rPr>
              <w:t>2</w:t>
            </w:r>
            <w:r>
              <w:rPr>
                <w:rFonts w:hint="eastAsia"/>
                <w:b/>
                <w:color w:val="000000" w:themeColor="text1"/>
                <w:kern w:val="0"/>
                <w:sz w:val="24"/>
                <w14:textFill>
                  <w14:solidFill>
                    <w14:schemeClr w14:val="tx1"/>
                  </w14:solidFill>
                </w14:textFill>
              </w:rPr>
              <w:t xml:space="preserve">  废气污染防治</w:t>
            </w:r>
            <w:r>
              <w:rPr>
                <w:rFonts w:hint="eastAsia"/>
                <w:b/>
                <w:color w:val="000000" w:themeColor="text1"/>
                <w:kern w:val="0"/>
                <w:sz w:val="24"/>
                <w:lang w:eastAsia="zh-CN"/>
                <w14:textFill>
                  <w14:solidFill>
                    <w14:schemeClr w14:val="tx1"/>
                  </w14:solidFill>
                </w14:textFill>
              </w:rPr>
              <w:t>要求</w:t>
            </w:r>
          </w:p>
          <w:p>
            <w:pPr>
              <w:adjustRightInd w:val="0"/>
              <w:snapToGrid w:val="0"/>
              <w:spacing w:line="360" w:lineRule="auto"/>
              <w:ind w:firstLine="480" w:firstLineChars="200"/>
              <w:rPr>
                <w:rFonts w:hint="eastAsia" w:eastAsia="宋体"/>
                <w:bCs/>
                <w:color w:val="000000" w:themeColor="text1"/>
                <w:sz w:val="24"/>
                <w:highlight w:val="none"/>
                <w:lang w:eastAsia="zh-CN"/>
                <w14:textFill>
                  <w14:solidFill>
                    <w14:schemeClr w14:val="tx1"/>
                  </w14:solidFill>
                </w14:textFill>
              </w:rPr>
            </w:pPr>
            <w:r>
              <w:rPr>
                <w:bCs/>
                <w:color w:val="000000" w:themeColor="text1"/>
                <w:sz w:val="24"/>
                <w:highlight w:val="none"/>
                <w14:textFill>
                  <w14:solidFill>
                    <w14:schemeClr w14:val="tx1"/>
                  </w14:solidFill>
                </w14:textFill>
              </w:rPr>
              <w:t>动物饲养废气经过室内负压收集后由1根63m高排气筒（DA001）直接排放</w:t>
            </w:r>
            <w:r>
              <w:rPr>
                <w:rFonts w:hint="eastAsia"/>
                <w:bCs/>
                <w:color w:val="000000" w:themeColor="text1"/>
                <w:sz w:val="24"/>
                <w:highlight w:val="none"/>
                <w:lang w:eastAsia="zh-CN"/>
                <w14:textFill>
                  <w14:solidFill>
                    <w14:schemeClr w14:val="tx1"/>
                  </w14:solidFill>
                </w14:textFill>
              </w:rPr>
              <w:t>，</w:t>
            </w:r>
            <w:r>
              <w:rPr>
                <w:rFonts w:hint="eastAsia"/>
                <w:bCs/>
                <w:color w:val="000000" w:themeColor="text1"/>
                <w:sz w:val="24"/>
                <w:highlight w:val="none"/>
                <w14:textFill>
                  <w14:solidFill>
                    <w14:schemeClr w14:val="tx1"/>
                  </w14:solidFill>
                </w14:textFill>
              </w:rPr>
              <w:t>前处理和醇提</w:t>
            </w:r>
            <w:r>
              <w:rPr>
                <w:bCs/>
                <w:color w:val="000000" w:themeColor="text1"/>
                <w:sz w:val="24"/>
                <w:highlight w:val="none"/>
                <w14:textFill>
                  <w14:solidFill>
                    <w14:schemeClr w14:val="tx1"/>
                  </w14:solidFill>
                </w14:textFill>
              </w:rPr>
              <w:t>废气经过通风橱收集后</w:t>
            </w:r>
            <w:r>
              <w:rPr>
                <w:rFonts w:hint="eastAsia"/>
                <w:bCs/>
                <w:color w:val="000000" w:themeColor="text1"/>
                <w:sz w:val="24"/>
                <w:highlight w:val="none"/>
                <w:lang w:eastAsia="zh-CN"/>
                <w14:textFill>
                  <w14:solidFill>
                    <w14:schemeClr w14:val="tx1"/>
                  </w14:solidFill>
                </w14:textFill>
              </w:rPr>
              <w:t>，</w:t>
            </w:r>
            <w:r>
              <w:rPr>
                <w:bCs/>
                <w:color w:val="000000" w:themeColor="text1"/>
                <w:sz w:val="24"/>
                <w:highlight w:val="none"/>
                <w14:textFill>
                  <w14:solidFill>
                    <w14:schemeClr w14:val="tx1"/>
                  </w14:solidFill>
                </w14:textFill>
              </w:rPr>
              <w:t>由1根63m高排气筒（DA002）直接排放</w:t>
            </w:r>
            <w:r>
              <w:rPr>
                <w:rFonts w:hint="eastAsia"/>
                <w:bCs/>
                <w:color w:val="000000" w:themeColor="text1"/>
                <w:sz w:val="24"/>
                <w:highlight w:val="none"/>
                <w:lang w:eastAsia="zh-CN"/>
                <w14:textFill>
                  <w14:solidFill>
                    <w14:schemeClr w14:val="tx1"/>
                  </w14:solidFill>
                </w14:textFill>
              </w:rPr>
              <w:t>。</w:t>
            </w:r>
            <w:r>
              <w:rPr>
                <w:bCs/>
                <w:color w:val="000000" w:themeColor="text1"/>
                <w:sz w:val="24"/>
                <w:highlight w:val="none"/>
                <w14:textFill>
                  <w14:solidFill>
                    <w14:schemeClr w14:val="tx1"/>
                  </w14:solidFill>
                </w14:textFill>
              </w:rPr>
              <w:t>项目</w:t>
            </w:r>
            <w:r>
              <w:rPr>
                <w:rFonts w:hint="eastAsia"/>
                <w:bCs/>
                <w:color w:val="000000" w:themeColor="text1"/>
                <w:sz w:val="24"/>
                <w:highlight w:val="none"/>
                <w14:textFill>
                  <w14:solidFill>
                    <w14:schemeClr w14:val="tx1"/>
                  </w14:solidFill>
                </w14:textFill>
              </w:rPr>
              <w:t>前处理</w:t>
            </w:r>
            <w:r>
              <w:rPr>
                <w:bCs/>
                <w:color w:val="000000" w:themeColor="text1"/>
                <w:sz w:val="24"/>
                <w:highlight w:val="none"/>
                <w14:textFill>
                  <w14:solidFill>
                    <w14:schemeClr w14:val="tx1"/>
                  </w14:solidFill>
                </w14:textFill>
              </w:rPr>
              <w:t>过程产生的废气主要污染物</w:t>
            </w:r>
            <w:r>
              <w:rPr>
                <w:rFonts w:hint="eastAsia"/>
                <w:bCs/>
                <w:color w:val="000000" w:themeColor="text1"/>
                <w:sz w:val="24"/>
                <w:highlight w:val="none"/>
                <w14:textFill>
                  <w14:solidFill>
                    <w14:schemeClr w14:val="tx1"/>
                  </w14:solidFill>
                </w14:textFill>
              </w:rPr>
              <w:t>为</w:t>
            </w:r>
            <w:r>
              <w:rPr>
                <w:bCs/>
                <w:color w:val="000000" w:themeColor="text1"/>
                <w:sz w:val="24"/>
                <w:highlight w:val="none"/>
                <w14:textFill>
                  <w14:solidFill>
                    <w14:schemeClr w14:val="tx1"/>
                  </w14:solidFill>
                </w14:textFill>
              </w:rPr>
              <w:t>非甲烷总烃、苯、甲醇、硫酸雾、NOx、HCl</w:t>
            </w:r>
            <w:r>
              <w:rPr>
                <w:rFonts w:hint="eastAsia"/>
                <w:bCs/>
                <w:color w:val="000000" w:themeColor="text1"/>
                <w:sz w:val="24"/>
                <w:highlight w:val="none"/>
                <w14:textFill>
                  <w14:solidFill>
                    <w14:schemeClr w14:val="tx1"/>
                  </w14:solidFill>
                </w14:textFill>
              </w:rPr>
              <w:t>，提取过程产生的污染物主要为乙醇（VOCs以非甲烷总烃表征），其</w:t>
            </w:r>
            <w:r>
              <w:rPr>
                <w:bCs/>
                <w:color w:val="000000" w:themeColor="text1"/>
                <w:sz w:val="24"/>
                <w:highlight w:val="none"/>
                <w14:textFill>
                  <w14:solidFill>
                    <w14:schemeClr w14:val="tx1"/>
                  </w14:solidFill>
                </w14:textFill>
              </w:rPr>
              <w:t>排放浓度和排放速率均可达到《大气污染物综合排放标准》（GB16297-1996）二级排放标准要求</w:t>
            </w:r>
            <w:r>
              <w:rPr>
                <w:rFonts w:hint="eastAsia"/>
                <w:bCs/>
                <w:color w:val="000000" w:themeColor="text1"/>
                <w:sz w:val="24"/>
                <w:highlight w:val="none"/>
                <w:lang w:eastAsia="zh-CN"/>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无组织排放能够满足</w:t>
            </w:r>
            <w:r>
              <w:rPr>
                <w:bCs/>
                <w:color w:val="000000" w:themeColor="text1"/>
                <w:sz w:val="24"/>
                <w:highlight w:val="none"/>
                <w14:textFill>
                  <w14:solidFill>
                    <w14:schemeClr w14:val="tx1"/>
                  </w14:solidFill>
                </w14:textFill>
              </w:rPr>
              <w:t>《大气污染物综合排放标准》（GB16297-1996）</w:t>
            </w:r>
            <w:r>
              <w:rPr>
                <w:rFonts w:hint="eastAsia"/>
                <w:bCs/>
                <w:color w:val="000000" w:themeColor="text1"/>
                <w:sz w:val="24"/>
                <w:highlight w:val="none"/>
                <w:lang w:val="en-US" w:eastAsia="zh-CN"/>
                <w14:textFill>
                  <w14:solidFill>
                    <w14:schemeClr w14:val="tx1"/>
                  </w14:solidFill>
                </w14:textFill>
              </w:rPr>
              <w:t>表2中无组织排放监控浓度限值要求</w:t>
            </w:r>
            <w:r>
              <w:rPr>
                <w:rFonts w:hint="eastAsia"/>
                <w:bCs/>
                <w:color w:val="000000" w:themeColor="text1"/>
                <w:sz w:val="24"/>
                <w:highlight w:val="none"/>
                <w:lang w:eastAsia="zh-CN"/>
                <w14:textFill>
                  <w14:solidFill>
                    <w14:schemeClr w14:val="tx1"/>
                  </w14:solidFill>
                </w14:textFill>
              </w:rPr>
              <w:t>；</w:t>
            </w:r>
            <w:r>
              <w:rPr>
                <w:bCs/>
                <w:color w:val="000000" w:themeColor="text1"/>
                <w:sz w:val="24"/>
                <w:highlight w:val="none"/>
                <w14:textFill>
                  <w14:solidFill>
                    <w14:schemeClr w14:val="tx1"/>
                  </w14:solidFill>
                </w14:textFill>
              </w:rPr>
              <w:t>氨、硫化氢、臭气浓度排放均可达到《恶臭污染物排放标准》（GB14554-93）表2中标准要求</w:t>
            </w:r>
            <w:r>
              <w:rPr>
                <w:rFonts w:hint="eastAsia"/>
                <w:bCs/>
                <w:color w:val="000000" w:themeColor="text1"/>
                <w:sz w:val="24"/>
                <w:highlight w:val="none"/>
                <w:lang w:eastAsia="zh-CN"/>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无组织排放能够满足</w:t>
            </w:r>
            <w:r>
              <w:rPr>
                <w:bCs/>
                <w:color w:val="000000" w:themeColor="text1"/>
                <w:sz w:val="24"/>
                <w:highlight w:val="none"/>
                <w14:textFill>
                  <w14:solidFill>
                    <w14:schemeClr w14:val="tx1"/>
                  </w14:solidFill>
                </w14:textFill>
              </w:rPr>
              <w:t>《恶臭污染物排放标准》（GB14554-93）表</w:t>
            </w:r>
            <w:r>
              <w:rPr>
                <w:rFonts w:hint="eastAsia"/>
                <w:bCs/>
                <w:color w:val="000000" w:themeColor="text1"/>
                <w:sz w:val="24"/>
                <w:highlight w:val="none"/>
                <w:lang w:val="en-US" w:eastAsia="zh-CN"/>
                <w14:textFill>
                  <w14:solidFill>
                    <w14:schemeClr w14:val="tx1"/>
                  </w14:solidFill>
                </w14:textFill>
              </w:rPr>
              <w:t>1中排放限值要求</w:t>
            </w:r>
            <w:r>
              <w:rPr>
                <w:rFonts w:hint="eastAsia"/>
                <w:bCs/>
                <w:color w:val="000000" w:themeColor="text1"/>
                <w:sz w:val="24"/>
                <w:highlight w:val="none"/>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厂房内无组织</w:t>
            </w:r>
            <w:r>
              <w:rPr>
                <w:rFonts w:hint="eastAsia" w:ascii="Times New Roman" w:hAnsi="Times New Roman" w:cs="Times New Roman"/>
                <w:color w:val="000000" w:themeColor="text1"/>
                <w:sz w:val="24"/>
                <w:szCs w:val="24"/>
                <w14:textFill>
                  <w14:solidFill>
                    <w14:schemeClr w14:val="tx1"/>
                  </w14:solidFill>
                </w14:textFill>
              </w:rPr>
              <w:t>NHM</w:t>
            </w:r>
            <w:r>
              <w:rPr>
                <w:rFonts w:hint="eastAsia" w:ascii="Times New Roman" w:hAnsi="Times New Roman" w:cs="Times New Roman"/>
                <w:color w:val="000000" w:themeColor="text1"/>
                <w:sz w:val="24"/>
                <w:szCs w:val="24"/>
                <w:lang w:val="en-US" w:eastAsia="zh-CN"/>
                <w14:textFill>
                  <w14:solidFill>
                    <w14:schemeClr w14:val="tx1"/>
                  </w14:solidFill>
                </w14:textFill>
              </w:rPr>
              <w:t>C</w:t>
            </w:r>
            <w:r>
              <w:rPr>
                <w:rFonts w:hint="eastAsia" w:ascii="Times New Roman" w:hAnsi="Times New Roman" w:cs="Times New Roman"/>
                <w:color w:val="000000" w:themeColor="text1"/>
                <w:sz w:val="24"/>
                <w:szCs w:val="24"/>
                <w:lang w:eastAsia="zh-CN"/>
                <w14:textFill>
                  <w14:solidFill>
                    <w14:schemeClr w14:val="tx1"/>
                  </w14:solidFill>
                </w14:textFill>
              </w:rPr>
              <w:t>执行</w:t>
            </w:r>
            <w:r>
              <w:rPr>
                <w:rFonts w:hint="eastAsia" w:ascii="Times New Roman" w:hAnsi="Times New Roman" w:cs="Times New Roman"/>
                <w:color w:val="000000" w:themeColor="text1"/>
                <w:sz w:val="24"/>
                <w:szCs w:val="24"/>
                <w14:textFill>
                  <w14:solidFill>
                    <w14:schemeClr w14:val="tx1"/>
                  </w14:solidFill>
                </w14:textFill>
              </w:rPr>
              <w:t>《挥发性有机物无组织排放控制标准》（GB37822-2019）表A.1</w:t>
            </w:r>
            <w:r>
              <w:rPr>
                <w:rFonts w:hint="eastAsia" w:ascii="Times New Roman" w:hAnsi="Times New Roman" w:cs="Times New Roman"/>
                <w:color w:val="000000" w:themeColor="text1"/>
                <w:sz w:val="24"/>
                <w:szCs w:val="24"/>
                <w:lang w:eastAsia="zh-CN"/>
                <w14:textFill>
                  <w14:solidFill>
                    <w14:schemeClr w14:val="tx1"/>
                  </w14:solidFill>
                </w14:textFill>
              </w:rPr>
              <w:t>标准限值</w:t>
            </w:r>
            <w:r>
              <w:rPr>
                <w:rFonts w:hint="eastAsia" w:cs="Times New Roman"/>
                <w:color w:val="000000" w:themeColor="text1"/>
                <w:sz w:val="24"/>
                <w:szCs w:val="24"/>
                <w:lang w:eastAsia="zh-CN"/>
                <w14:textFill>
                  <w14:solidFill>
                    <w14:schemeClr w14:val="tx1"/>
                  </w14:solidFill>
                </w14:textFill>
              </w:rPr>
              <w:t>。</w:t>
            </w:r>
          </w:p>
          <w:p>
            <w:pPr>
              <w:spacing w:line="360" w:lineRule="auto"/>
              <w:rPr>
                <w:rFonts w:hint="eastAsia" w:eastAsia="宋体"/>
                <w:b/>
                <w:color w:val="000000" w:themeColor="text1"/>
                <w:kern w:val="0"/>
                <w:sz w:val="24"/>
                <w:lang w:eastAsia="zh-CN"/>
                <w14:textFill>
                  <w14:solidFill>
                    <w14:schemeClr w14:val="tx1"/>
                  </w14:solidFill>
                </w14:textFill>
              </w:rPr>
            </w:pPr>
            <w:r>
              <w:rPr>
                <w:rFonts w:hint="eastAsia"/>
                <w:b/>
                <w:color w:val="000000" w:themeColor="text1"/>
                <w:kern w:val="0"/>
                <w:sz w:val="24"/>
                <w14:textFill>
                  <w14:solidFill>
                    <w14:schemeClr w14:val="tx1"/>
                  </w14:solidFill>
                </w14:textFill>
              </w:rPr>
              <w:t>4.1.</w:t>
            </w:r>
            <w:r>
              <w:rPr>
                <w:rFonts w:hint="eastAsia"/>
                <w:b/>
                <w:color w:val="000000" w:themeColor="text1"/>
                <w:kern w:val="0"/>
                <w:sz w:val="24"/>
                <w:lang w:val="en-US" w:eastAsia="zh-CN"/>
                <w14:textFill>
                  <w14:solidFill>
                    <w14:schemeClr w14:val="tx1"/>
                  </w14:solidFill>
                </w14:textFill>
              </w:rPr>
              <w:t>3</w:t>
            </w:r>
            <w:r>
              <w:rPr>
                <w:rFonts w:hint="eastAsia"/>
                <w:b/>
                <w:color w:val="000000" w:themeColor="text1"/>
                <w:kern w:val="0"/>
                <w:sz w:val="24"/>
                <w14:textFill>
                  <w14:solidFill>
                    <w14:schemeClr w14:val="tx1"/>
                  </w14:solidFill>
                </w14:textFill>
              </w:rPr>
              <w:t xml:space="preserve">  噪声</w:t>
            </w:r>
            <w:r>
              <w:rPr>
                <w:rFonts w:hint="eastAsia"/>
                <w:b/>
                <w:color w:val="000000" w:themeColor="text1"/>
                <w:kern w:val="0"/>
                <w:sz w:val="24"/>
                <w:lang w:eastAsia="zh-CN"/>
                <w14:textFill>
                  <w14:solidFill>
                    <w14:schemeClr w14:val="tx1"/>
                  </w14:solidFill>
                </w14:textFill>
              </w:rPr>
              <w:t>污染</w:t>
            </w:r>
            <w:r>
              <w:rPr>
                <w:rFonts w:hint="eastAsia"/>
                <w:b/>
                <w:color w:val="000000" w:themeColor="text1"/>
                <w:kern w:val="0"/>
                <w:sz w:val="24"/>
                <w14:textFill>
                  <w14:solidFill>
                    <w14:schemeClr w14:val="tx1"/>
                  </w14:solidFill>
                </w14:textFill>
              </w:rPr>
              <w:t>防治</w:t>
            </w:r>
            <w:r>
              <w:rPr>
                <w:rFonts w:hint="eastAsia"/>
                <w:b/>
                <w:color w:val="000000" w:themeColor="text1"/>
                <w:kern w:val="0"/>
                <w:sz w:val="24"/>
                <w:lang w:eastAsia="zh-CN"/>
                <w14:textFill>
                  <w14:solidFill>
                    <w14:schemeClr w14:val="tx1"/>
                  </w14:solidFill>
                </w14:textFill>
              </w:rPr>
              <w:t>要求</w:t>
            </w:r>
          </w:p>
          <w:p>
            <w:pPr>
              <w:adjustRightInd w:val="0"/>
              <w:snapToGrid w:val="0"/>
              <w:spacing w:line="360" w:lineRule="auto"/>
              <w:ind w:firstLine="480" w:firstLineChars="200"/>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选用低噪声的机械设备，并合理布置高噪声设备，对生产噪声的设备采取减震、隔声、消声等措施，以减少噪声对周边环境的影响。</w:t>
            </w:r>
          </w:p>
          <w:p>
            <w:pPr>
              <w:spacing w:line="360" w:lineRule="auto"/>
              <w:rPr>
                <w:rFonts w:hint="eastAsia"/>
                <w:color w:val="000000" w:themeColor="text1"/>
                <w:sz w:val="24"/>
                <w:szCs w:val="24"/>
                <w14:textFill>
                  <w14:solidFill>
                    <w14:schemeClr w14:val="tx1"/>
                  </w14:solidFill>
                </w14:textFill>
              </w:rPr>
            </w:pPr>
            <w:r>
              <w:rPr>
                <w:rFonts w:hint="eastAsia"/>
                <w:b/>
                <w:color w:val="000000" w:themeColor="text1"/>
                <w:kern w:val="0"/>
                <w:sz w:val="24"/>
                <w14:textFill>
                  <w14:solidFill>
                    <w14:schemeClr w14:val="tx1"/>
                  </w14:solidFill>
                </w14:textFill>
              </w:rPr>
              <w:t>4.1.</w:t>
            </w:r>
            <w:r>
              <w:rPr>
                <w:rFonts w:hint="eastAsia"/>
                <w:b/>
                <w:color w:val="000000" w:themeColor="text1"/>
                <w:kern w:val="0"/>
                <w:sz w:val="24"/>
                <w:lang w:val="en-US" w:eastAsia="zh-CN"/>
                <w14:textFill>
                  <w14:solidFill>
                    <w14:schemeClr w14:val="tx1"/>
                  </w14:solidFill>
                </w14:textFill>
              </w:rPr>
              <w:t>4</w:t>
            </w:r>
            <w:r>
              <w:rPr>
                <w:rFonts w:hint="eastAsia"/>
                <w:b/>
                <w:color w:val="000000" w:themeColor="text1"/>
                <w:kern w:val="0"/>
                <w:sz w:val="24"/>
                <w14:textFill>
                  <w14:solidFill>
                    <w14:schemeClr w14:val="tx1"/>
                  </w14:solidFill>
                </w14:textFill>
              </w:rPr>
              <w:t xml:space="preserve">  固废污染防治措施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正常饲养废弃物</w:t>
            </w:r>
            <w:r>
              <w:rPr>
                <w:rFonts w:hint="eastAsia" w:ascii="Times New Roman" w:hAnsi="Times New Roman" w:cs="Times New Roman"/>
                <w:color w:val="000000" w:themeColor="text1"/>
                <w:sz w:val="24"/>
                <w:szCs w:val="24"/>
                <w:lang w:val="en-US" w:eastAsia="zh-CN"/>
                <w14:textFill>
                  <w14:solidFill>
                    <w14:schemeClr w14:val="tx1"/>
                  </w14:solidFill>
                </w14:textFill>
              </w:rPr>
              <w:t>委托专门处置动物粪便单位处置</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废反渗透膜</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中药渣</w:t>
            </w:r>
            <w:r>
              <w:rPr>
                <w:rFonts w:hint="eastAsia" w:ascii="Times New Roman" w:hAnsi="Times New Roman" w:cs="Times New Roman"/>
                <w:color w:val="000000" w:themeColor="text1"/>
                <w:sz w:val="24"/>
                <w:szCs w:val="24"/>
                <w:lang w:val="en-US" w:eastAsia="zh-CN"/>
                <w14:textFill>
                  <w14:solidFill>
                    <w14:schemeClr w14:val="tx1"/>
                  </w14:solidFill>
                </w14:textFill>
              </w:rPr>
              <w:t>外售综合利用</w:t>
            </w:r>
            <w:r>
              <w:rPr>
                <w:rFonts w:hint="eastAsia" w:ascii="Times New Roman" w:hAnsi="Times New Roman" w:cs="Times New Roman"/>
                <w:color w:val="000000" w:themeColor="text1"/>
                <w:sz w:val="24"/>
                <w:szCs w:val="24"/>
                <w14:textFill>
                  <w14:solidFill>
                    <w14:schemeClr w14:val="tx1"/>
                  </w14:solidFill>
                </w14:textFill>
              </w:rPr>
              <w:t>。实验废弃物</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潜在危害饲养废弃物</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病死动物尸体</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药理学动物尸体委托具备《危险废物经营许可证》资质且核准经营危险废物类别相符的单位集中处理</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生活垃圾收集后由当地环卫部门统一清运处理</w:t>
            </w:r>
            <w:r>
              <w:rPr>
                <w:rFonts w:hint="eastAsia"/>
                <w:color w:val="000000" w:themeColor="text1"/>
                <w:sz w:val="24"/>
                <w:szCs w:val="24"/>
                <w:lang w:eastAsia="zh-CN"/>
                <w14:textFill>
                  <w14:solidFill>
                    <w14:schemeClr w14:val="tx1"/>
                  </w14:solidFill>
                </w14:textFill>
              </w:rPr>
              <w:t>。</w:t>
            </w:r>
            <w:r>
              <w:rPr>
                <w:color w:val="000000" w:themeColor="text1"/>
                <w:sz w:val="24"/>
                <w:szCs w:val="24"/>
                <w14:textFill>
                  <w14:solidFill>
                    <w14:schemeClr w14:val="tx1"/>
                  </w14:solidFill>
                </w14:textFill>
              </w:rPr>
              <w:t>采取以上措施后，本项目所产生的固体废物均可得到妥善处理，处理率为100%，对周围环境影响较小。</w:t>
            </w:r>
          </w:p>
          <w:p>
            <w:pPr>
              <w:spacing w:line="360" w:lineRule="auto"/>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4.2 环境影响评价批复的要求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w:t>
            </w:r>
            <w:r>
              <w:rPr>
                <w:rFonts w:hint="eastAsia"/>
                <w:color w:val="000000" w:themeColor="text1"/>
                <w:sz w:val="24"/>
                <w:szCs w:val="24"/>
                <w:lang w:eastAsia="zh-CN"/>
                <w14:textFill>
                  <w14:solidFill>
                    <w14:schemeClr w14:val="tx1"/>
                  </w14:solidFill>
                </w14:textFill>
              </w:rPr>
              <w:t>高新技术产业开发区管理委员会城市管理局《关于中山大学南昌研究院生物医药研究中心项目环境影响报告表的批复》（</w:t>
            </w:r>
            <w:r>
              <w:rPr>
                <w:rFonts w:hint="eastAsia"/>
                <w:color w:val="000000" w:themeColor="text1"/>
                <w:sz w:val="24"/>
                <w:szCs w:val="24"/>
                <w:lang w:val="en-US" w:eastAsia="zh-CN"/>
                <w14:textFill>
                  <w14:solidFill>
                    <w14:schemeClr w14:val="tx1"/>
                  </w14:solidFill>
                </w14:textFill>
              </w:rPr>
              <w:t>洪高新管城审批字〔2022〕46号</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，确定对该项目环保主要要求如下：</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1、</w:t>
            </w:r>
            <w:r>
              <w:rPr>
                <w:rFonts w:hint="eastAsia"/>
                <w:b/>
                <w:color w:val="000000" w:themeColor="text1"/>
                <w:kern w:val="0"/>
                <w:sz w:val="24"/>
                <w14:textFill>
                  <w14:solidFill>
                    <w14:schemeClr w14:val="tx1"/>
                  </w14:solidFill>
                </w14:textFill>
              </w:rPr>
              <w:t xml:space="preserve"> </w:t>
            </w:r>
            <w:r>
              <w:rPr>
                <w:rFonts w:hint="eastAsia"/>
                <w:b/>
                <w:color w:val="000000" w:themeColor="text1"/>
                <w:kern w:val="0"/>
                <w:sz w:val="24"/>
                <w:lang w:eastAsia="zh-CN"/>
                <w14:textFill>
                  <w14:solidFill>
                    <w14:schemeClr w14:val="tx1"/>
                  </w14:solidFill>
                </w14:textFill>
              </w:rPr>
              <w:t>清洁生产要求。</w:t>
            </w:r>
            <w:r>
              <w:rPr>
                <w:rFonts w:hint="eastAsia" w:ascii="Times New Roman" w:hAnsi="宋体" w:eastAsia="宋体" w:cs="Times New Roman"/>
                <w:bCs/>
                <w:color w:val="000000" w:themeColor="text1"/>
                <w:kern w:val="2"/>
                <w:sz w:val="24"/>
                <w:lang w:val="en-US" w:eastAsia="zh-CN" w:bidi="ar-SA"/>
                <w14:textFill>
                  <w14:solidFill>
                    <w14:schemeClr w14:val="tx1"/>
                  </w14:solidFill>
                </w14:textFill>
              </w:rPr>
              <w:t>项目必须采用先进的生产工艺、技术和设备，提高自动化控制水平，积极推行清洁生产，提高项目清洁生产水平。</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2、</w:t>
            </w:r>
            <w:r>
              <w:rPr>
                <w:rFonts w:hint="eastAsia"/>
                <w:b/>
                <w:color w:val="000000" w:themeColor="text1"/>
                <w:kern w:val="0"/>
                <w:sz w:val="24"/>
                <w:lang w:eastAsia="zh-CN"/>
                <w14:textFill>
                  <w14:solidFill>
                    <w14:schemeClr w14:val="tx1"/>
                  </w14:solidFill>
                </w14:textFill>
              </w:rPr>
              <w:t>环境风险防范要求。</w:t>
            </w:r>
            <w:r>
              <w:rPr>
                <w:rFonts w:hint="eastAsia"/>
                <w:color w:val="000000" w:themeColor="text1"/>
                <w:sz w:val="24"/>
                <w:szCs w:val="24"/>
                <w:lang w:eastAsia="zh-CN"/>
                <w14:textFill>
                  <w14:solidFill>
                    <w14:schemeClr w14:val="tx1"/>
                  </w14:solidFill>
                </w14:textFill>
              </w:rPr>
              <w:t>项目涉及安全、消防等方面事项应报请安全、消防等行政部门审批，并按照安全、消防等行政管理部门的要求进行设计、建设。</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hAnsi="宋体"/>
                <w:bCs/>
                <w:color w:val="000000" w:themeColor="text1"/>
                <w:sz w:val="24"/>
                <w:lang w:eastAsia="zh-CN"/>
                <w14:textFill>
                  <w14:solidFill>
                    <w14:schemeClr w14:val="tx1"/>
                  </w14:solidFill>
                </w14:textFill>
              </w:rPr>
            </w:pPr>
            <w:r>
              <w:rPr>
                <w:rFonts w:hint="eastAsia"/>
                <w:b/>
                <w:color w:val="000000" w:themeColor="text1"/>
                <w:kern w:val="0"/>
                <w:sz w:val="24"/>
                <w:lang w:val="en-US" w:eastAsia="zh-CN"/>
                <w14:textFill>
                  <w14:solidFill>
                    <w14:schemeClr w14:val="tx1"/>
                  </w14:solidFill>
                </w14:textFill>
              </w:rPr>
              <w:t>3、</w:t>
            </w:r>
            <w:r>
              <w:rPr>
                <w:rFonts w:hint="eastAsia"/>
                <w:b/>
                <w:color w:val="000000" w:themeColor="text1"/>
                <w:kern w:val="0"/>
                <w:sz w:val="24"/>
                <w14:textFill>
                  <w14:solidFill>
                    <w14:schemeClr w14:val="tx1"/>
                  </w14:solidFill>
                </w14:textFill>
              </w:rPr>
              <w:t>废水污染防治</w:t>
            </w:r>
            <w:r>
              <w:rPr>
                <w:rFonts w:hint="eastAsia"/>
                <w:b/>
                <w:color w:val="000000" w:themeColor="text1"/>
                <w:kern w:val="0"/>
                <w:sz w:val="24"/>
                <w:lang w:eastAsia="zh-CN"/>
                <w14:textFill>
                  <w14:solidFill>
                    <w14:schemeClr w14:val="tx1"/>
                  </w14:solidFill>
                </w14:textFill>
              </w:rPr>
              <w:t>要求。</w:t>
            </w:r>
            <w:r>
              <w:rPr>
                <w:rFonts w:hint="eastAsia" w:hAnsi="宋体"/>
                <w:bCs/>
                <w:color w:val="000000" w:themeColor="text1"/>
                <w:sz w:val="24"/>
                <w:lang w:eastAsia="zh-CN"/>
                <w14:textFill>
                  <w14:solidFill>
                    <w14:schemeClr w14:val="tx1"/>
                  </w14:solidFill>
                </w14:textFill>
              </w:rPr>
              <w:t>实施雨污（废）分流。项目运营期产生的生活污水、地面拖洗废水经化粪池处理，清洗废水经“污水调节</w:t>
            </w:r>
            <w:r>
              <w:rPr>
                <w:rFonts w:hint="eastAsia" w:hAnsi="宋体"/>
                <w:bCs/>
                <w:color w:val="000000" w:themeColor="text1"/>
                <w:sz w:val="24"/>
                <w:lang w:val="en-US" w:eastAsia="zh-CN"/>
                <w14:textFill>
                  <w14:solidFill>
                    <w14:schemeClr w14:val="tx1"/>
                  </w14:solidFill>
                </w14:textFill>
              </w:rPr>
              <w:t>+厌氧生化+兼氧生化+好氧生化+沉淀池+消毒池</w:t>
            </w:r>
            <w:r>
              <w:rPr>
                <w:rFonts w:hint="eastAsia" w:hAnsi="宋体"/>
                <w:bCs/>
                <w:color w:val="000000" w:themeColor="text1"/>
                <w:sz w:val="24"/>
                <w:lang w:eastAsia="zh-CN"/>
                <w14:textFill>
                  <w14:solidFill>
                    <w14:schemeClr w14:val="tx1"/>
                  </w14:solidFill>
                </w14:textFill>
              </w:rPr>
              <w:t>”工艺处理，处理达标后由市政污水管网排入瑶湖污水处理厂。</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4、</w:t>
            </w:r>
            <w:r>
              <w:rPr>
                <w:rFonts w:hint="eastAsia"/>
                <w:b/>
                <w:color w:val="000000" w:themeColor="text1"/>
                <w:kern w:val="0"/>
                <w:sz w:val="24"/>
                <w14:textFill>
                  <w14:solidFill>
                    <w14:schemeClr w14:val="tx1"/>
                  </w14:solidFill>
                </w14:textFill>
              </w:rPr>
              <w:t>废气污染防治</w:t>
            </w:r>
            <w:r>
              <w:rPr>
                <w:rFonts w:hint="eastAsia"/>
                <w:b/>
                <w:color w:val="000000" w:themeColor="text1"/>
                <w:kern w:val="0"/>
                <w:sz w:val="24"/>
                <w:lang w:eastAsia="zh-CN"/>
                <w14:textFill>
                  <w14:solidFill>
                    <w14:schemeClr w14:val="tx1"/>
                  </w14:solidFill>
                </w14:textFill>
              </w:rPr>
              <w:t>要求。</w:t>
            </w:r>
            <w:r>
              <w:rPr>
                <w:rFonts w:hint="default"/>
                <w:color w:val="000000" w:themeColor="text1"/>
                <w:sz w:val="24"/>
                <w:szCs w:val="24"/>
                <w14:textFill>
                  <w14:solidFill>
                    <w14:schemeClr w14:val="tx1"/>
                  </w14:solidFill>
                </w14:textFill>
              </w:rPr>
              <w:t>项目运营期</w:t>
            </w:r>
            <w:r>
              <w:rPr>
                <w:rFonts w:hint="eastAsia"/>
                <w:color w:val="000000" w:themeColor="text1"/>
                <w:sz w:val="24"/>
                <w:szCs w:val="24"/>
                <w:lang w:eastAsia="zh-CN"/>
                <w14:textFill>
                  <w14:solidFill>
                    <w14:schemeClr w14:val="tx1"/>
                  </w14:solidFill>
                </w14:textFill>
              </w:rPr>
              <w:t>主要为试验过程产生的药物前处理和醇提废气、动物饲养废气等。动物饲养废气经负压收集后，经</w:t>
            </w:r>
            <w:r>
              <w:rPr>
                <w:rFonts w:hint="eastAsia"/>
                <w:color w:val="000000" w:themeColor="text1"/>
                <w:sz w:val="24"/>
                <w:szCs w:val="24"/>
                <w:lang w:val="en-US" w:eastAsia="zh-CN"/>
                <w14:textFill>
                  <w14:solidFill>
                    <w14:schemeClr w14:val="tx1"/>
                  </w14:solidFill>
                </w14:textFill>
              </w:rPr>
              <w:t>1根63m高排气筒排放；项目前处理</w:t>
            </w:r>
            <w:r>
              <w:rPr>
                <w:rFonts w:hint="eastAsia"/>
                <w:color w:val="000000" w:themeColor="text1"/>
                <w:sz w:val="24"/>
                <w:szCs w:val="24"/>
                <w:lang w:eastAsia="zh-CN"/>
                <w14:textFill>
                  <w14:solidFill>
                    <w14:schemeClr w14:val="tx1"/>
                  </w14:solidFill>
                </w14:textFill>
              </w:rPr>
              <w:t>和醇提废气经通风橱收集后，经</w:t>
            </w:r>
            <w:r>
              <w:rPr>
                <w:rFonts w:hint="eastAsia"/>
                <w:color w:val="000000" w:themeColor="text1"/>
                <w:sz w:val="24"/>
                <w:szCs w:val="24"/>
                <w:lang w:val="en-US" w:eastAsia="zh-CN"/>
                <w14:textFill>
                  <w14:solidFill>
                    <w14:schemeClr w14:val="tx1"/>
                  </w14:solidFill>
                </w14:textFill>
              </w:rPr>
              <w:t>1根63m高排气筒排放。工序未收集的无组织废气，应加强厂区通风，降低无组织废气排放对厂区内部及周边环境的不利影响。</w:t>
            </w:r>
          </w:p>
          <w:p>
            <w:pPr>
              <w:spacing w:line="360" w:lineRule="auto"/>
              <w:ind w:firstLine="480" w:firstLineChars="200"/>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5、</w:t>
            </w:r>
            <w:r>
              <w:rPr>
                <w:rFonts w:hint="eastAsia"/>
                <w:b/>
                <w:color w:val="000000" w:themeColor="text1"/>
                <w:kern w:val="0"/>
                <w:sz w:val="24"/>
                <w14:textFill>
                  <w14:solidFill>
                    <w14:schemeClr w14:val="tx1"/>
                  </w14:solidFill>
                </w14:textFill>
              </w:rPr>
              <w:t>噪声</w:t>
            </w:r>
            <w:r>
              <w:rPr>
                <w:rFonts w:hint="eastAsia"/>
                <w:b/>
                <w:color w:val="000000" w:themeColor="text1"/>
                <w:kern w:val="0"/>
                <w:sz w:val="24"/>
                <w:lang w:eastAsia="zh-CN"/>
                <w14:textFill>
                  <w14:solidFill>
                    <w14:schemeClr w14:val="tx1"/>
                  </w14:solidFill>
                </w14:textFill>
              </w:rPr>
              <w:t>污染</w:t>
            </w:r>
            <w:r>
              <w:rPr>
                <w:rFonts w:hint="eastAsia"/>
                <w:b/>
                <w:color w:val="000000" w:themeColor="text1"/>
                <w:kern w:val="0"/>
                <w:sz w:val="24"/>
                <w14:textFill>
                  <w14:solidFill>
                    <w14:schemeClr w14:val="tx1"/>
                  </w14:solidFill>
                </w14:textFill>
              </w:rPr>
              <w:t>防治</w:t>
            </w:r>
            <w:r>
              <w:rPr>
                <w:rFonts w:hint="eastAsia"/>
                <w:b/>
                <w:color w:val="000000" w:themeColor="text1"/>
                <w:kern w:val="0"/>
                <w:sz w:val="24"/>
                <w:lang w:eastAsia="zh-CN"/>
                <w14:textFill>
                  <w14:solidFill>
                    <w14:schemeClr w14:val="tx1"/>
                  </w14:solidFill>
                </w14:textFill>
              </w:rPr>
              <w:t>要求。</w:t>
            </w:r>
            <w:r>
              <w:rPr>
                <w:rFonts w:hint="eastAsia"/>
                <w:color w:val="000000" w:themeColor="text1"/>
                <w:sz w:val="24"/>
                <w:szCs w:val="24"/>
                <w:lang w:eastAsia="zh-CN"/>
                <w14:textFill>
                  <w14:solidFill>
                    <w14:schemeClr w14:val="tx1"/>
                  </w14:solidFill>
                </w14:textFill>
              </w:rPr>
              <w:t>选用低噪声的机械设备，并合理布置高噪声设备，对生产噪声的设备采取减震、隔声、消声等措施，以减少噪声对周边环境的影响。</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6、</w:t>
            </w:r>
            <w:r>
              <w:rPr>
                <w:rFonts w:hint="eastAsia"/>
                <w:b/>
                <w:bCs/>
                <w:color w:val="000000" w:themeColor="text1"/>
                <w:sz w:val="24"/>
                <w:szCs w:val="24"/>
                <w:lang w:eastAsia="zh-CN"/>
                <w14:textFill>
                  <w14:solidFill>
                    <w14:schemeClr w14:val="tx1"/>
                  </w14:solidFill>
                </w14:textFill>
              </w:rPr>
              <w:t>固体废物分类处置及综合利用。</w:t>
            </w:r>
            <w:r>
              <w:rPr>
                <w:rFonts w:hint="eastAsia"/>
                <w:color w:val="000000" w:themeColor="text1"/>
                <w:sz w:val="24"/>
                <w:szCs w:val="24"/>
                <w:lang w:eastAsia="zh-CN"/>
                <w14:textFill>
                  <w14:solidFill>
                    <w14:schemeClr w14:val="tx1"/>
                  </w14:solidFill>
                </w14:textFill>
              </w:rPr>
              <w:t>应按照“资源化、减量化、无害化”处置原则，认真落实各类固废收集、处置和综合利用措施。项目产生的实验废弃物、潜在危害饲养废弃物、病死动物尸体、药理学动物尸体、污水处理污泥等危险废物交由有资质单位处理；正常动物尸体委托持有许可证的动物尸体机构处理；正常饲养废弃物委托专门处置动物粪便单位处置；废防渗膜、中药渣均外售综合利用；生活垃圾交由环卫部门清运。</w:t>
            </w:r>
          </w:p>
          <w:p>
            <w:pPr>
              <w:pStyle w:val="2"/>
              <w:spacing w:line="360" w:lineRule="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危险废物暂存间按《危险废物贮存污染控制标准》（GB18597-2001）及其修改单要求建设；一般工业固体废物贮存过程应满足防渗漏、防雨淋、防扬尘等环境保护要求。</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7、</w:t>
            </w:r>
            <w:r>
              <w:rPr>
                <w:rFonts w:hint="eastAsia"/>
                <w:b/>
                <w:bCs/>
                <w:color w:val="000000" w:themeColor="text1"/>
                <w:sz w:val="24"/>
                <w:szCs w:val="24"/>
                <w:lang w:eastAsia="zh-CN"/>
                <w14:textFill>
                  <w14:solidFill>
                    <w14:schemeClr w14:val="tx1"/>
                  </w14:solidFill>
                </w14:textFill>
              </w:rPr>
              <w:t>排污口规范化要求。</w:t>
            </w:r>
            <w:r>
              <w:rPr>
                <w:rFonts w:hint="eastAsia"/>
                <w:color w:val="000000" w:themeColor="text1"/>
                <w:sz w:val="24"/>
                <w:szCs w:val="24"/>
                <w:lang w:eastAsia="zh-CN"/>
                <w14:textFill>
                  <w14:solidFill>
                    <w14:schemeClr w14:val="tx1"/>
                  </w14:solidFill>
                </w14:textFill>
              </w:rPr>
              <w:t>按国家和我省排污口规范化要求规范排污口建设，设置各类排污口环保标识。</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8、</w:t>
            </w:r>
            <w:r>
              <w:rPr>
                <w:rFonts w:hint="eastAsia"/>
                <w:b/>
                <w:bCs/>
                <w:color w:val="000000" w:themeColor="text1"/>
                <w:sz w:val="24"/>
                <w:szCs w:val="24"/>
                <w:lang w:eastAsia="zh-CN"/>
                <w14:textFill>
                  <w14:solidFill>
                    <w14:schemeClr w14:val="tx1"/>
                  </w14:solidFill>
                </w14:textFill>
              </w:rPr>
              <w:t>地下水防治措施。</w:t>
            </w:r>
            <w:r>
              <w:rPr>
                <w:rFonts w:hint="eastAsia"/>
                <w:color w:val="000000" w:themeColor="text1"/>
                <w:sz w:val="24"/>
                <w:szCs w:val="24"/>
                <w:lang w:eastAsia="zh-CN"/>
                <w14:textFill>
                  <w14:solidFill>
                    <w14:schemeClr w14:val="tx1"/>
                  </w14:solidFill>
                </w14:textFill>
              </w:rPr>
              <w:t>项目应采取分区防渗等措施减轻对地下水和土壤的影响。</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9</w:t>
            </w:r>
            <w:r>
              <w:rPr>
                <w:rFonts w:hint="eastAsia"/>
                <w:color w:val="000000" w:themeColor="text1"/>
                <w:sz w:val="24"/>
                <w:szCs w:val="24"/>
                <w:lang w:eastAsia="zh-CN"/>
                <w14:textFill>
                  <w14:solidFill>
                    <w14:schemeClr w14:val="tx1"/>
                  </w14:solidFill>
                </w14:textFill>
              </w:rPr>
              <w:t>、</w:t>
            </w:r>
            <w:r>
              <w:rPr>
                <w:rFonts w:hint="eastAsia"/>
                <w:b/>
                <w:bCs/>
                <w:color w:val="000000" w:themeColor="text1"/>
                <w:sz w:val="24"/>
                <w:szCs w:val="24"/>
                <w:lang w:eastAsia="zh-CN"/>
                <w14:textFill>
                  <w14:solidFill>
                    <w14:schemeClr w14:val="tx1"/>
                  </w14:solidFill>
                </w14:textFill>
              </w:rPr>
              <w:t>项目周边规划控制要求。</w:t>
            </w:r>
            <w:r>
              <w:rPr>
                <w:rFonts w:hint="eastAsia"/>
                <w:color w:val="000000" w:themeColor="text1"/>
                <w:sz w:val="24"/>
                <w:szCs w:val="24"/>
                <w:lang w:eastAsia="zh-CN"/>
                <w14:textFill>
                  <w14:solidFill>
                    <w14:schemeClr w14:val="tx1"/>
                  </w14:solidFill>
                </w14:textFill>
              </w:rPr>
              <w:t>以项目边界为起点设置</w:t>
            </w:r>
            <w:r>
              <w:rPr>
                <w:rFonts w:hint="eastAsia"/>
                <w:color w:val="000000" w:themeColor="text1"/>
                <w:sz w:val="24"/>
                <w:szCs w:val="24"/>
                <w:lang w:val="en-US" w:eastAsia="zh-CN"/>
                <w14:textFill>
                  <w14:solidFill>
                    <w14:schemeClr w14:val="tx1"/>
                  </w14:solidFill>
                </w14:textFill>
              </w:rPr>
              <w:t>100m卫生防护距离，你司应配合高新区规划部门，严格控制好本项目周边规划，项目卫生防护距离内不得建设住宅、学校、医院等环境敏感点，避免废气造成的不利环境影响。</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eastAsia="宋体"/>
                <w:color w:val="000000" w:themeColor="text1"/>
                <w:sz w:val="24"/>
                <w:szCs w:val="24"/>
                <w:lang w:eastAsia="zh-CN"/>
                <w14:textFill>
                  <w14:solidFill>
                    <w14:schemeClr w14:val="tx1"/>
                  </w14:solidFill>
                </w14:textFill>
              </w:rPr>
            </w:pPr>
          </w:p>
        </w:tc>
      </w:tr>
    </w:tbl>
    <w:p>
      <w:pPr>
        <w:pStyle w:val="3"/>
        <w:rPr>
          <w:b w:val="0"/>
          <w:bCs/>
          <w:color w:val="000000" w:themeColor="text1"/>
          <w:szCs w:val="24"/>
          <w14:textFill>
            <w14:solidFill>
              <w14:schemeClr w14:val="tx1"/>
            </w14:solidFill>
          </w14:textFill>
        </w:rPr>
      </w:pPr>
      <w:bookmarkStart w:id="5" w:name="_Toc523906059"/>
      <w:r>
        <w:rPr>
          <w:color w:val="000000" w:themeColor="text1"/>
          <w14:textFill>
            <w14:solidFill>
              <w14:schemeClr w14:val="tx1"/>
            </w14:solidFill>
          </w14:textFill>
        </w:rPr>
        <w:t>表</w:t>
      </w:r>
      <w:r>
        <w:rPr>
          <w:rFonts w:hint="eastAsia"/>
          <w:color w:val="000000" w:themeColor="text1"/>
          <w14:textFill>
            <w14:solidFill>
              <w14:schemeClr w14:val="tx1"/>
            </w14:solidFill>
          </w14:textFill>
        </w:rPr>
        <w:t>五</w:t>
      </w:r>
      <w:r>
        <w:rPr>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验收监测质量保证及质量控制</w:t>
      </w:r>
      <w:bookmarkEnd w:id="5"/>
    </w:p>
    <w:tbl>
      <w:tblPr>
        <w:tblStyle w:val="29"/>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0" w:hRule="atLeast"/>
        </w:trPr>
        <w:tc>
          <w:tcPr>
            <w:tcW w:w="9287" w:type="dxa"/>
            <w:shd w:val="clear" w:color="auto" w:fill="auto"/>
          </w:tcPr>
          <w:p>
            <w:pPr>
              <w:spacing w:line="360" w:lineRule="auto"/>
              <w:rPr>
                <w:b/>
                <w:color w:val="000000" w:themeColor="text1"/>
                <w:kern w:val="0"/>
                <w:sz w:val="24"/>
                <w:highlight w:val="none"/>
                <w14:textFill>
                  <w14:solidFill>
                    <w14:schemeClr w14:val="tx1"/>
                  </w14:solidFill>
                </w14:textFill>
              </w:rPr>
            </w:pPr>
            <w:r>
              <w:rPr>
                <w:rFonts w:hint="eastAsia"/>
                <w:b/>
                <w:color w:val="000000" w:themeColor="text1"/>
                <w:kern w:val="0"/>
                <w:sz w:val="24"/>
                <w14:textFill>
                  <w14:solidFill>
                    <w14:schemeClr w14:val="tx1"/>
                  </w14:solidFill>
                </w14:textFill>
              </w:rPr>
              <w:t>5</w:t>
            </w:r>
            <w:r>
              <w:rPr>
                <w:rFonts w:hint="eastAsia"/>
                <w:b/>
                <w:color w:val="000000" w:themeColor="text1"/>
                <w:kern w:val="0"/>
                <w:sz w:val="24"/>
                <w:highlight w:val="none"/>
                <w14:textFill>
                  <w14:solidFill>
                    <w14:schemeClr w14:val="tx1"/>
                  </w14:solidFill>
                </w14:textFill>
              </w:rPr>
              <w:t>.1 监测分析方法</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各项污染物具体测定方法见表</w:t>
            </w:r>
            <w:r>
              <w:rPr>
                <w:rFonts w:hint="eastAsia"/>
                <w:color w:val="000000" w:themeColor="text1"/>
                <w:sz w:val="24"/>
                <w:szCs w:val="24"/>
                <w:highlight w:val="none"/>
                <w14:textFill>
                  <w14:solidFill>
                    <w14:schemeClr w14:val="tx1"/>
                  </w14:solidFill>
                </w14:textFill>
              </w:rPr>
              <w:t>5-1</w:t>
            </w:r>
            <w:r>
              <w:rPr>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000000" w:themeColor="text1"/>
                <w:sz w:val="18"/>
                <w:szCs w:val="18"/>
                <w:highlight w:val="none"/>
                <w14:textFill>
                  <w14:solidFill>
                    <w14:schemeClr w14:val="tx1"/>
                  </w14:solidFill>
                </w14:textFill>
              </w:rPr>
            </w:pPr>
            <w:r>
              <w:rPr>
                <w:b/>
                <w:color w:val="000000" w:themeColor="text1"/>
                <w:sz w:val="18"/>
                <w:szCs w:val="18"/>
                <w:highlight w:val="none"/>
                <w14:textFill>
                  <w14:solidFill>
                    <w14:schemeClr w14:val="tx1"/>
                  </w14:solidFill>
                </w14:textFill>
              </w:rPr>
              <w:t>表</w:t>
            </w:r>
            <w:r>
              <w:rPr>
                <w:rFonts w:hint="eastAsia"/>
                <w:b/>
                <w:color w:val="000000" w:themeColor="text1"/>
                <w:sz w:val="18"/>
                <w:szCs w:val="18"/>
                <w:highlight w:val="none"/>
                <w14:textFill>
                  <w14:solidFill>
                    <w14:schemeClr w14:val="tx1"/>
                  </w14:solidFill>
                </w14:textFill>
              </w:rPr>
              <w:t>5</w:t>
            </w:r>
            <w:r>
              <w:rPr>
                <w:b/>
                <w:color w:val="000000" w:themeColor="text1"/>
                <w:sz w:val="18"/>
                <w:szCs w:val="18"/>
                <w:highlight w:val="none"/>
                <w14:textFill>
                  <w14:solidFill>
                    <w14:schemeClr w14:val="tx1"/>
                  </w14:solidFill>
                </w14:textFill>
              </w:rPr>
              <w:t>-1 监测方法一览表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594"/>
              <w:gridCol w:w="1944"/>
              <w:gridCol w:w="3253"/>
              <w:gridCol w:w="1809"/>
              <w:gridCol w:w="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pPr>
                    <w:keepNext w:val="0"/>
                    <w:keepLines w:val="0"/>
                    <w:widowControl/>
                    <w:suppressLineNumbers w:val="0"/>
                    <w:jc w:val="cente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序号</w:t>
                  </w:r>
                </w:p>
              </w:tc>
              <w:tc>
                <w:tcPr>
                  <w:tcW w:w="594" w:type="dxa"/>
                  <w:vAlign w:val="center"/>
                </w:tcPr>
                <w:p>
                  <w:pPr>
                    <w:keepNext w:val="0"/>
                    <w:keepLines w:val="0"/>
                    <w:widowControl/>
                    <w:suppressLineNumbers w:val="0"/>
                    <w:jc w:val="cente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检测类别</w:t>
                  </w:r>
                </w:p>
              </w:tc>
              <w:tc>
                <w:tcPr>
                  <w:tcW w:w="1944" w:type="dxa"/>
                  <w:vAlign w:val="center"/>
                </w:tcPr>
                <w:p>
                  <w:pPr>
                    <w:keepNext w:val="0"/>
                    <w:keepLines w:val="0"/>
                    <w:widowControl/>
                    <w:suppressLineNumbers w:val="0"/>
                    <w:jc w:val="cente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项目名称</w:t>
                  </w:r>
                </w:p>
              </w:tc>
              <w:tc>
                <w:tcPr>
                  <w:tcW w:w="3253" w:type="dxa"/>
                  <w:vAlign w:val="center"/>
                </w:tcPr>
                <w:p>
                  <w:pPr>
                    <w:keepNext w:val="0"/>
                    <w:keepLines w:val="0"/>
                    <w:widowControl/>
                    <w:suppressLineNumbers w:val="0"/>
                    <w:jc w:val="cente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检测方法</w:t>
                  </w:r>
                </w:p>
              </w:tc>
              <w:tc>
                <w:tcPr>
                  <w:tcW w:w="1809" w:type="dxa"/>
                  <w:vAlign w:val="center"/>
                </w:tcPr>
                <w:p>
                  <w:pPr>
                    <w:keepNext w:val="0"/>
                    <w:keepLines w:val="0"/>
                    <w:widowControl/>
                    <w:suppressLineNumbers w:val="0"/>
                    <w:jc w:val="cente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使用仪器</w:t>
                  </w:r>
                </w:p>
              </w:tc>
              <w:tc>
                <w:tcPr>
                  <w:tcW w:w="903" w:type="dxa"/>
                  <w:vAlign w:val="center"/>
                </w:tcPr>
                <w:p>
                  <w:pPr>
                    <w:keepNext w:val="0"/>
                    <w:keepLines w:val="0"/>
                    <w:widowControl/>
                    <w:suppressLineNumbers w:val="0"/>
                    <w:jc w:val="cente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7" w:hRule="atLeast"/>
                <w:jc w:val="center"/>
              </w:trPr>
              <w:tc>
                <w:tcPr>
                  <w:tcW w:w="558" w:type="dxa"/>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c>
                <w:tcPr>
                  <w:tcW w:w="594" w:type="dxa"/>
                  <w:vMerge w:val="restart"/>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水和废水</w:t>
                  </w:r>
                </w:p>
              </w:tc>
              <w:tc>
                <w:tcPr>
                  <w:tcW w:w="1944" w:type="dxa"/>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p</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H</w:t>
                  </w:r>
                </w:p>
              </w:tc>
              <w:tc>
                <w:tcPr>
                  <w:tcW w:w="3253" w:type="dxa"/>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水质pH值的测定 电极法 （HJ 1147-2020）</w:t>
                  </w:r>
                </w:p>
              </w:tc>
              <w:tc>
                <w:tcPr>
                  <w:tcW w:w="1809" w:type="dxa"/>
                  <w:vAlign w:val="center"/>
                </w:tcPr>
                <w:p>
                  <w:pPr>
                    <w:widowControl/>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pH计</w:t>
                  </w:r>
                </w:p>
              </w:tc>
              <w:tc>
                <w:tcPr>
                  <w:tcW w:w="903" w:type="dxa"/>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w:t>
                  </w:r>
                </w:p>
              </w:tc>
              <w:tc>
                <w:tcPr>
                  <w:tcW w:w="594" w:type="dxa"/>
                  <w:vMerge w:val="continue"/>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44" w:type="dxa"/>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化学需氧量</w:t>
                  </w:r>
                </w:p>
              </w:tc>
              <w:tc>
                <w:tcPr>
                  <w:tcW w:w="3253" w:type="dxa"/>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水质 化学需氧量的测定 重铬酸盐法(HJ 828-2017)</w:t>
                  </w:r>
                </w:p>
              </w:tc>
              <w:tc>
                <w:tcPr>
                  <w:tcW w:w="1809" w:type="dxa"/>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903" w:type="dxa"/>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7" w:hRule="atLeast"/>
                <w:jc w:val="center"/>
              </w:trPr>
              <w:tc>
                <w:tcPr>
                  <w:tcW w:w="558" w:type="dxa"/>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w:t>
                  </w:r>
                </w:p>
              </w:tc>
              <w:tc>
                <w:tcPr>
                  <w:tcW w:w="594" w:type="dxa"/>
                  <w:vMerge w:val="continue"/>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44" w:type="dxa"/>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氨氮</w:t>
                  </w:r>
                </w:p>
              </w:tc>
              <w:tc>
                <w:tcPr>
                  <w:tcW w:w="3253" w:type="dxa"/>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水质 氨氮的测定 纳氏试剂分光光度法 (HJ 535-2009)</w:t>
                  </w:r>
                </w:p>
              </w:tc>
              <w:tc>
                <w:tcPr>
                  <w:tcW w:w="1809" w:type="dxa"/>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可见分光光度计 (YH-S-010)</w:t>
                  </w:r>
                </w:p>
              </w:tc>
              <w:tc>
                <w:tcPr>
                  <w:tcW w:w="903" w:type="dxa"/>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w:t>
                  </w:r>
                </w:p>
              </w:tc>
              <w:tc>
                <w:tcPr>
                  <w:tcW w:w="594" w:type="dxa"/>
                  <w:vMerge w:val="continue"/>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44" w:type="dxa"/>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悬浮物</w:t>
                  </w:r>
                </w:p>
              </w:tc>
              <w:tc>
                <w:tcPr>
                  <w:tcW w:w="3253" w:type="dxa"/>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水质 悬浮物的测定 重量法(GB 11901-89)</w:t>
                  </w:r>
                </w:p>
              </w:tc>
              <w:tc>
                <w:tcPr>
                  <w:tcW w:w="1809" w:type="dxa"/>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万分之一天平 (YH-S-014)</w:t>
                  </w:r>
                </w:p>
              </w:tc>
              <w:tc>
                <w:tcPr>
                  <w:tcW w:w="903" w:type="dxa"/>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w:t>
                  </w:r>
                </w:p>
              </w:tc>
              <w:tc>
                <w:tcPr>
                  <w:tcW w:w="594" w:type="dxa"/>
                  <w:vMerge w:val="continue"/>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44" w:type="dxa"/>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五日化学需氧量</w:t>
                  </w:r>
                </w:p>
              </w:tc>
              <w:tc>
                <w:tcPr>
                  <w:tcW w:w="3253" w:type="dxa"/>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水质 五日生化需氧量(BOD5)的测定稀释与接种法(HJ 505-2009)</w:t>
                  </w:r>
                </w:p>
              </w:tc>
              <w:tc>
                <w:tcPr>
                  <w:tcW w:w="1809" w:type="dxa"/>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溶解氧测定仪</w:t>
                  </w:r>
                </w:p>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（YH-S-029）</w:t>
                  </w:r>
                </w:p>
              </w:tc>
              <w:tc>
                <w:tcPr>
                  <w:tcW w:w="903" w:type="dxa"/>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6</w:t>
                  </w:r>
                </w:p>
              </w:tc>
              <w:tc>
                <w:tcPr>
                  <w:tcW w:w="594" w:type="dxa"/>
                  <w:vMerge w:val="continue"/>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44" w:type="dxa"/>
                  <w:vAlign w:val="center"/>
                </w:tcPr>
                <w:p>
                  <w:pPr>
                    <w:widowControl/>
                    <w:bidi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总氮</w:t>
                  </w:r>
                </w:p>
              </w:tc>
              <w:tc>
                <w:tcPr>
                  <w:tcW w:w="3253"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水质 总氮的测定 碱性过硫酸钾消解紫外分光光度法</w:t>
                  </w:r>
                </w:p>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（HJ 636-2012）</w:t>
                  </w:r>
                </w:p>
              </w:tc>
              <w:tc>
                <w:tcPr>
                  <w:tcW w:w="1809"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双光束紫外可见分光光度计</w:t>
                  </w:r>
                </w:p>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(YH-S-011)</w:t>
                  </w:r>
                </w:p>
              </w:tc>
              <w:tc>
                <w:tcPr>
                  <w:tcW w:w="903"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w:t>
                  </w:r>
                </w:p>
              </w:tc>
              <w:tc>
                <w:tcPr>
                  <w:tcW w:w="594" w:type="dxa"/>
                  <w:vMerge w:val="continue"/>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44"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总磷</w:t>
                  </w:r>
                </w:p>
              </w:tc>
              <w:tc>
                <w:tcPr>
                  <w:tcW w:w="3253"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水质 总磷的测定 钼酸铵分光光 度法（GB 11893-89）</w:t>
                  </w:r>
                </w:p>
              </w:tc>
              <w:tc>
                <w:tcPr>
                  <w:tcW w:w="1809"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可见分光光度计 （YH-S-009）</w:t>
                  </w:r>
                </w:p>
              </w:tc>
              <w:tc>
                <w:tcPr>
                  <w:tcW w:w="903"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8</w:t>
                  </w:r>
                </w:p>
              </w:tc>
              <w:tc>
                <w:tcPr>
                  <w:tcW w:w="594" w:type="dxa"/>
                  <w:vMerge w:val="continue"/>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44"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粪大肠菌群</w:t>
                  </w:r>
                </w:p>
              </w:tc>
              <w:tc>
                <w:tcPr>
                  <w:tcW w:w="3253"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水质 粪大肠菌群的测定 多管发酵法(HJ347.2-2018）</w:t>
                  </w:r>
                </w:p>
              </w:tc>
              <w:tc>
                <w:tcPr>
                  <w:tcW w:w="1809"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生化培养箱 （YH-S-021）</w:t>
                  </w:r>
                </w:p>
              </w:tc>
              <w:tc>
                <w:tcPr>
                  <w:tcW w:w="903"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20MPN/L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9</w:t>
                  </w:r>
                </w:p>
              </w:tc>
              <w:tc>
                <w:tcPr>
                  <w:tcW w:w="594" w:type="dxa"/>
                  <w:vMerge w:val="continue"/>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44"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阴离子表面活性剂</w:t>
                  </w:r>
                </w:p>
              </w:tc>
              <w:tc>
                <w:tcPr>
                  <w:tcW w:w="3253"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水质 阴离子表面活性剂的测定 亚甲蓝分光光度法（GB7494-1987）</w:t>
                  </w:r>
                </w:p>
              </w:tc>
              <w:tc>
                <w:tcPr>
                  <w:tcW w:w="1809"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可见分光光度计（YH-S-010）</w:t>
                  </w:r>
                </w:p>
              </w:tc>
              <w:tc>
                <w:tcPr>
                  <w:tcW w:w="903"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10</w:t>
                  </w:r>
                </w:p>
              </w:tc>
              <w:tc>
                <w:tcPr>
                  <w:tcW w:w="594" w:type="dxa"/>
                  <w:vMerge w:val="continue"/>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44"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总余氯</w:t>
                  </w:r>
                </w:p>
              </w:tc>
              <w:tc>
                <w:tcPr>
                  <w:tcW w:w="3253"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水质 游离氯和总氯得测定 N,N 一二乙基-1,4 一本二胺分光光度法（HJ586-2010）</w:t>
                  </w:r>
                </w:p>
              </w:tc>
              <w:tc>
                <w:tcPr>
                  <w:tcW w:w="1809"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可见分光光度计（YH-S-009）</w:t>
                  </w:r>
                </w:p>
              </w:tc>
              <w:tc>
                <w:tcPr>
                  <w:tcW w:w="903"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0.004mg/L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11</w:t>
                  </w:r>
                </w:p>
              </w:tc>
              <w:tc>
                <w:tcPr>
                  <w:tcW w:w="594" w:type="dxa"/>
                  <w:vMerge w:val="restart"/>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环境空气与废气</w:t>
                  </w:r>
                </w:p>
              </w:tc>
              <w:tc>
                <w:tcPr>
                  <w:tcW w:w="1944" w:type="dxa"/>
                  <w:vMerge w:val="restart"/>
                  <w:vAlign w:val="center"/>
                </w:tcPr>
                <w:p>
                  <w:pPr>
                    <w:pStyle w:val="35"/>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氨</w:t>
                  </w:r>
                </w:p>
              </w:tc>
              <w:tc>
                <w:tcPr>
                  <w:tcW w:w="3253" w:type="dxa"/>
                  <w:vMerge w:val="restart"/>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环境空气和废气 氨的测定 纳氏试剂分光光度法（HJ 533-2009）</w:t>
                  </w:r>
                </w:p>
              </w:tc>
              <w:tc>
                <w:tcPr>
                  <w:tcW w:w="1809" w:type="dxa"/>
                  <w:vMerge w:val="restart"/>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可见分光光度计（YH-S-009）</w:t>
                  </w:r>
                </w:p>
              </w:tc>
              <w:tc>
                <w:tcPr>
                  <w:tcW w:w="903"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0.25mg/m</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12</w:t>
                  </w:r>
                </w:p>
              </w:tc>
              <w:tc>
                <w:tcPr>
                  <w:tcW w:w="594" w:type="dxa"/>
                  <w:vMerge w:val="continue"/>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944" w:type="dxa"/>
                  <w:vMerge w:val="continue"/>
                  <w:vAlign w:val="center"/>
                </w:tcPr>
                <w:p>
                  <w:pPr>
                    <w:pStyle w:val="35"/>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p>
              </w:tc>
              <w:tc>
                <w:tcPr>
                  <w:tcW w:w="3253" w:type="dxa"/>
                  <w:vMerge w:val="continue"/>
                  <w:vAlign w:val="center"/>
                </w:tcPr>
                <w:p>
                  <w:pPr>
                    <w:pStyle w:val="35"/>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p>
              </w:tc>
              <w:tc>
                <w:tcPr>
                  <w:tcW w:w="1809" w:type="dxa"/>
                  <w:vMerge w:val="continue"/>
                  <w:vAlign w:val="center"/>
                </w:tcPr>
                <w:p>
                  <w:pPr>
                    <w:pStyle w:val="35"/>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p>
              </w:tc>
              <w:tc>
                <w:tcPr>
                  <w:tcW w:w="903"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0.01mg/m</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13</w:t>
                  </w:r>
                </w:p>
              </w:tc>
              <w:tc>
                <w:tcPr>
                  <w:tcW w:w="594" w:type="dxa"/>
                  <w:vMerge w:val="continue"/>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944" w:type="dxa"/>
                  <w:vMerge w:val="restart"/>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硫化氢</w:t>
                  </w:r>
                </w:p>
                <w:p>
                  <w:pPr>
                    <w:pStyle w:val="35"/>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p>
              </w:tc>
              <w:tc>
                <w:tcPr>
                  <w:tcW w:w="3253"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空气和废气监测分析方法（第四版增补版）国家环境保护总局 （2003 年）第三 篇 第一章 第十一节 第二法亚甲基蓝分光光度法</w:t>
                  </w:r>
                </w:p>
              </w:tc>
              <w:tc>
                <w:tcPr>
                  <w:tcW w:w="1809"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可见分光光度计（YH-S-009）</w:t>
                  </w:r>
                </w:p>
              </w:tc>
              <w:tc>
                <w:tcPr>
                  <w:tcW w:w="903"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0.001mg/m</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14</w:t>
                  </w:r>
                </w:p>
              </w:tc>
              <w:tc>
                <w:tcPr>
                  <w:tcW w:w="594" w:type="dxa"/>
                  <w:vMerge w:val="continue"/>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944" w:type="dxa"/>
                  <w:vMerge w:val="continue"/>
                  <w:vAlign w:val="center"/>
                </w:tcPr>
                <w:p>
                  <w:pPr>
                    <w:pStyle w:val="35"/>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p>
              </w:tc>
              <w:tc>
                <w:tcPr>
                  <w:tcW w:w="3253"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空气和废气监测分析方法（第四版增补版）国家环境保护总局 （2003 年）第五篇 第四章 第十节 第三法 亚甲基蓝分光光度法</w:t>
                  </w:r>
                </w:p>
              </w:tc>
              <w:tc>
                <w:tcPr>
                  <w:tcW w:w="1809"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可见分光光度计（YH-S-009）</w:t>
                  </w:r>
                </w:p>
              </w:tc>
              <w:tc>
                <w:tcPr>
                  <w:tcW w:w="903"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0.01mg/m</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15</w:t>
                  </w:r>
                </w:p>
              </w:tc>
              <w:tc>
                <w:tcPr>
                  <w:tcW w:w="594" w:type="dxa"/>
                  <w:vMerge w:val="continue"/>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944"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臭气浓度*</w:t>
                  </w:r>
                </w:p>
              </w:tc>
              <w:tc>
                <w:tcPr>
                  <w:tcW w:w="3253"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环境空气和废气 臭气的测定 三点 比较式臭袋法 HJ 1262-2022</w:t>
                  </w:r>
                </w:p>
              </w:tc>
              <w:tc>
                <w:tcPr>
                  <w:tcW w:w="1809" w:type="dxa"/>
                  <w:vAlign w:val="center"/>
                </w:tcPr>
                <w:p>
                  <w:pPr>
                    <w:pStyle w:val="35"/>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w:t>
                  </w:r>
                </w:p>
              </w:tc>
              <w:tc>
                <w:tcPr>
                  <w:tcW w:w="903"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10无量纲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16</w:t>
                  </w:r>
                </w:p>
              </w:tc>
              <w:tc>
                <w:tcPr>
                  <w:tcW w:w="594" w:type="dxa"/>
                  <w:vMerge w:val="continue"/>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944" w:type="dxa"/>
                  <w:vMerge w:val="restart"/>
                  <w:vAlign w:val="center"/>
                </w:tcPr>
                <w:p>
                  <w:pPr>
                    <w:pStyle w:val="35"/>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非甲烷总烃</w:t>
                  </w:r>
                </w:p>
              </w:tc>
              <w:tc>
                <w:tcPr>
                  <w:tcW w:w="3253" w:type="dxa"/>
                  <w:vAlign w:val="center"/>
                </w:tcPr>
                <w:p>
                  <w:pPr>
                    <w:pStyle w:val="35"/>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固定污染源废气 总烃、甲烷和非甲烷总烃的测定 气相色谱法（HJ 38-2017）</w:t>
                  </w:r>
                </w:p>
              </w:tc>
              <w:tc>
                <w:tcPr>
                  <w:tcW w:w="1809" w:type="dxa"/>
                  <w:vAlign w:val="center"/>
                </w:tcPr>
                <w:p>
                  <w:pPr>
                    <w:pStyle w:val="35"/>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气相色谱仪  （YH-S-004）</w:t>
                  </w:r>
                </w:p>
              </w:tc>
              <w:tc>
                <w:tcPr>
                  <w:tcW w:w="903" w:type="dxa"/>
                  <w:vAlign w:val="center"/>
                </w:tcPr>
                <w:p>
                  <w:pPr>
                    <w:pStyle w:val="35"/>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0.07mg/m</w:t>
                  </w:r>
                  <w:r>
                    <w:rPr>
                      <w:rFonts w:hint="default" w:ascii="Times New Roman" w:hAnsi="Times New Roman" w:eastAsia="宋体" w:cs="Times New Roman"/>
                      <w:color w:val="000000" w:themeColor="text1"/>
                      <w:kern w:val="0"/>
                      <w:sz w:val="21"/>
                      <w:szCs w:val="21"/>
                      <w:highlight w:val="none"/>
                      <w:vertAlign w:val="superscript"/>
                      <w:lang w:val="en-US" w:eastAsia="zh-CN" w:bidi="ar-SA"/>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17</w:t>
                  </w:r>
                </w:p>
              </w:tc>
              <w:tc>
                <w:tcPr>
                  <w:tcW w:w="594" w:type="dxa"/>
                  <w:vMerge w:val="continue"/>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44" w:type="dxa"/>
                  <w:vMerge w:val="continue"/>
                  <w:vAlign w:val="center"/>
                </w:tcPr>
                <w:p>
                  <w:pPr>
                    <w:pStyle w:val="35"/>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p>
              </w:tc>
              <w:tc>
                <w:tcPr>
                  <w:tcW w:w="3253" w:type="dxa"/>
                  <w:vAlign w:val="center"/>
                </w:tcPr>
                <w:p>
                  <w:pPr>
                    <w:pStyle w:val="35"/>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环境空气 总烃、甲烷和非甲烷总烃 直接进样-气相色谱法（HJ 604-2017）</w:t>
                  </w:r>
                </w:p>
              </w:tc>
              <w:tc>
                <w:tcPr>
                  <w:tcW w:w="1809" w:type="dxa"/>
                  <w:vAlign w:val="center"/>
                </w:tcPr>
                <w:p>
                  <w:pPr>
                    <w:pStyle w:val="35"/>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气相色谱仪</w:t>
                  </w:r>
                </w:p>
                <w:p>
                  <w:pPr>
                    <w:pStyle w:val="35"/>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（YH-S-004）</w:t>
                  </w:r>
                </w:p>
              </w:tc>
              <w:tc>
                <w:tcPr>
                  <w:tcW w:w="903" w:type="dxa"/>
                  <w:vAlign w:val="center"/>
                </w:tcPr>
                <w:p>
                  <w:pPr>
                    <w:pStyle w:val="35"/>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0.07mg/m</w:t>
                  </w:r>
                  <w:r>
                    <w:rPr>
                      <w:rFonts w:hint="default" w:ascii="Times New Roman" w:hAnsi="Times New Roman" w:eastAsia="宋体" w:cs="Times New Roman"/>
                      <w:color w:val="000000" w:themeColor="text1"/>
                      <w:kern w:val="0"/>
                      <w:sz w:val="21"/>
                      <w:szCs w:val="21"/>
                      <w:highlight w:val="none"/>
                      <w:vertAlign w:val="superscript"/>
                      <w:lang w:val="en-US" w:eastAsia="zh-CN" w:bidi="ar-SA"/>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18</w:t>
                  </w:r>
                </w:p>
              </w:tc>
              <w:tc>
                <w:tcPr>
                  <w:tcW w:w="594" w:type="dxa"/>
                  <w:vMerge w:val="continue"/>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44" w:type="dxa"/>
                  <w:vAlign w:val="center"/>
                </w:tcPr>
                <w:p>
                  <w:pPr>
                    <w:pStyle w:val="35"/>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苯</w:t>
                  </w:r>
                </w:p>
              </w:tc>
              <w:tc>
                <w:tcPr>
                  <w:tcW w:w="3253" w:type="dxa"/>
                  <w:vAlign w:val="center"/>
                </w:tcPr>
                <w:p>
                  <w:pPr>
                    <w:pStyle w:val="35"/>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环境空气 苯系物的测定 活性炭吸附二硫化碳解吸-气相色谱法（HJ 584-2010）</w:t>
                  </w:r>
                </w:p>
              </w:tc>
              <w:tc>
                <w:tcPr>
                  <w:tcW w:w="1809" w:type="dxa"/>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气相色谱</w:t>
                  </w:r>
                </w:p>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（YH-S-004）</w:t>
                  </w:r>
                </w:p>
              </w:tc>
              <w:tc>
                <w:tcPr>
                  <w:tcW w:w="903"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0.0015mg/m</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19</w:t>
                  </w:r>
                </w:p>
              </w:tc>
              <w:tc>
                <w:tcPr>
                  <w:tcW w:w="594" w:type="dxa"/>
                  <w:vMerge w:val="continue"/>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44"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甲醇</w:t>
                  </w:r>
                </w:p>
              </w:tc>
              <w:tc>
                <w:tcPr>
                  <w:tcW w:w="3253"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固定污染源排气中甲醇的测定 气相色谱法（HJ/T 33-1999）</w:t>
                  </w:r>
                </w:p>
              </w:tc>
              <w:tc>
                <w:tcPr>
                  <w:tcW w:w="1809" w:type="dxa"/>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气相色谱</w:t>
                  </w:r>
                </w:p>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（YH-S-004）</w:t>
                  </w:r>
                </w:p>
              </w:tc>
              <w:tc>
                <w:tcPr>
                  <w:tcW w:w="903"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0.5mg/m</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20</w:t>
                  </w:r>
                </w:p>
              </w:tc>
              <w:tc>
                <w:tcPr>
                  <w:tcW w:w="594" w:type="dxa"/>
                  <w:vMerge w:val="continue"/>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44" w:type="dxa"/>
                  <w:vMerge w:val="restart"/>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硫酸雾</w:t>
                  </w:r>
                </w:p>
                <w:p>
                  <w:pPr>
                    <w:pStyle w:val="35"/>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p>
              </w:tc>
              <w:tc>
                <w:tcPr>
                  <w:tcW w:w="3253"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空气和废气监测分析方法（第四版增补版）国家环境保护总局 （2003 年）第五篇 第四章 第四节 第一法 铬酸钡分光光度法</w:t>
                  </w:r>
                </w:p>
              </w:tc>
              <w:tc>
                <w:tcPr>
                  <w:tcW w:w="1809"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可见分光光度计（YH-S-010）</w:t>
                  </w:r>
                </w:p>
              </w:tc>
              <w:tc>
                <w:tcPr>
                  <w:tcW w:w="903"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5mg/m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21</w:t>
                  </w:r>
                </w:p>
              </w:tc>
              <w:tc>
                <w:tcPr>
                  <w:tcW w:w="594" w:type="dxa"/>
                  <w:vMerge w:val="continue"/>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44" w:type="dxa"/>
                  <w:vMerge w:val="continue"/>
                  <w:vAlign w:val="center"/>
                </w:tcPr>
                <w:p>
                  <w:pPr>
                    <w:pStyle w:val="35"/>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p>
              </w:tc>
              <w:tc>
                <w:tcPr>
                  <w:tcW w:w="3253"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固定污染源废气 硫酸雾的测定 离子色谱法（HJ 544-2016)</w:t>
                  </w:r>
                </w:p>
              </w:tc>
              <w:tc>
                <w:tcPr>
                  <w:tcW w:w="1809" w:type="dxa"/>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离子色谱</w:t>
                  </w:r>
                </w:p>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（YH-S-006）</w:t>
                  </w:r>
                </w:p>
              </w:tc>
              <w:tc>
                <w:tcPr>
                  <w:tcW w:w="903"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0.005mg/m</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22</w:t>
                  </w:r>
                </w:p>
              </w:tc>
              <w:tc>
                <w:tcPr>
                  <w:tcW w:w="594" w:type="dxa"/>
                  <w:vMerge w:val="continue"/>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44" w:type="dxa"/>
                  <w:vMerge w:val="restart"/>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氮氧化物</w:t>
                  </w:r>
                </w:p>
                <w:p>
                  <w:pPr>
                    <w:pStyle w:val="35"/>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p>
              </w:tc>
              <w:tc>
                <w:tcPr>
                  <w:tcW w:w="3253"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固定污染源废气 氮氧化物的测定</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定电位电解法 （HJ 693-2014）</w:t>
                  </w:r>
                </w:p>
              </w:tc>
              <w:tc>
                <w:tcPr>
                  <w:tcW w:w="1809" w:type="dxa"/>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全自动智能烟</w:t>
                  </w:r>
                </w:p>
                <w:p>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尘（气）仪</w:t>
                  </w:r>
                </w:p>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（YH-S-003）</w:t>
                  </w:r>
                </w:p>
              </w:tc>
              <w:tc>
                <w:tcPr>
                  <w:tcW w:w="903"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3mg/m</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23</w:t>
                  </w:r>
                </w:p>
              </w:tc>
              <w:tc>
                <w:tcPr>
                  <w:tcW w:w="594" w:type="dxa"/>
                  <w:vMerge w:val="continue"/>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44" w:type="dxa"/>
                  <w:vMerge w:val="continue"/>
                  <w:vAlign w:val="center"/>
                </w:tcPr>
                <w:p>
                  <w:pPr>
                    <w:pStyle w:val="35"/>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p>
              </w:tc>
              <w:tc>
                <w:tcPr>
                  <w:tcW w:w="3253"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环境空气 氮氧化物（一氧化氮和二氧化氮）的测定盐酸萘乙二胺分光光度法（HJ 479-2009）及修改单</w:t>
                  </w:r>
                </w:p>
              </w:tc>
              <w:tc>
                <w:tcPr>
                  <w:tcW w:w="1809" w:type="dxa"/>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可见分光光度</w:t>
                  </w:r>
                </w:p>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计（YH-S-009）</w:t>
                  </w:r>
                </w:p>
              </w:tc>
              <w:tc>
                <w:tcPr>
                  <w:tcW w:w="903"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0.005mg/m</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24</w:t>
                  </w:r>
                </w:p>
              </w:tc>
              <w:tc>
                <w:tcPr>
                  <w:tcW w:w="594" w:type="dxa"/>
                  <w:vMerge w:val="continue"/>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44" w:type="dxa"/>
                  <w:vMerge w:val="restart"/>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氯化氢</w:t>
                  </w:r>
                </w:p>
                <w:p>
                  <w:pPr>
                    <w:pStyle w:val="35"/>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p>
              </w:tc>
              <w:tc>
                <w:tcPr>
                  <w:tcW w:w="3253"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固定污染源废气 氯化氢的测定 硝酸银容量法（HJ 548-2016）</w:t>
                  </w:r>
                </w:p>
              </w:tc>
              <w:tc>
                <w:tcPr>
                  <w:tcW w:w="1809" w:type="dxa"/>
                  <w:vAlign w:val="center"/>
                </w:tcPr>
                <w:p>
                  <w:pPr>
                    <w:pStyle w:val="35"/>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w:t>
                  </w:r>
                </w:p>
              </w:tc>
              <w:tc>
                <w:tcPr>
                  <w:tcW w:w="903"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2mg/m </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25</w:t>
                  </w:r>
                </w:p>
              </w:tc>
              <w:tc>
                <w:tcPr>
                  <w:tcW w:w="594" w:type="dxa"/>
                  <w:vMerge w:val="continue"/>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44" w:type="dxa"/>
                  <w:vMerge w:val="continue"/>
                  <w:vAlign w:val="center"/>
                </w:tcPr>
                <w:p>
                  <w:pPr>
                    <w:pStyle w:val="35"/>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p>
              </w:tc>
              <w:tc>
                <w:tcPr>
                  <w:tcW w:w="3253"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环境空气和废气 氯化氢的测定 离子色谱法（HJ 549-2016）</w:t>
                  </w:r>
                </w:p>
              </w:tc>
              <w:tc>
                <w:tcPr>
                  <w:tcW w:w="1809"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离子色谱（YH-S-006）</w:t>
                  </w:r>
                </w:p>
              </w:tc>
              <w:tc>
                <w:tcPr>
                  <w:tcW w:w="903"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0.02mg/m</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7" w:hRule="atLeast"/>
                <w:jc w:val="center"/>
              </w:trPr>
              <w:tc>
                <w:tcPr>
                  <w:tcW w:w="558" w:type="dxa"/>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26</w:t>
                  </w:r>
                </w:p>
              </w:tc>
              <w:tc>
                <w:tcPr>
                  <w:tcW w:w="594" w:type="dxa"/>
                  <w:vAlign w:val="center"/>
                </w:tcPr>
                <w:p>
                  <w:pPr>
                    <w:pStyle w:val="35"/>
                    <w:spacing w:before="0" w:after="0"/>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噪声</w:t>
                  </w:r>
                </w:p>
              </w:tc>
              <w:tc>
                <w:tcPr>
                  <w:tcW w:w="1944"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工业企业</w:t>
                  </w:r>
                </w:p>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厂界噪声</w:t>
                  </w:r>
                </w:p>
              </w:tc>
              <w:tc>
                <w:tcPr>
                  <w:tcW w:w="3253"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工业企业厂界环境噪声排放标准</w:t>
                  </w:r>
                </w:p>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（GB 12348-2008）</w:t>
                  </w:r>
                </w:p>
              </w:tc>
              <w:tc>
                <w:tcPr>
                  <w:tcW w:w="1809"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噪声计</w:t>
                  </w:r>
                </w:p>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（YH-C-061）</w:t>
                  </w:r>
                </w:p>
              </w:tc>
              <w:tc>
                <w:tcPr>
                  <w:tcW w:w="903"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w:t>
                  </w:r>
                </w:p>
              </w:tc>
            </w:tr>
          </w:tbl>
          <w:p>
            <w:pPr>
              <w:spacing w:before="156" w:beforeLines="50" w:line="312" w:lineRule="auto"/>
              <w:rPr>
                <w:b/>
                <w:color w:val="000000" w:themeColor="text1"/>
                <w:sz w:val="24"/>
                <w:szCs w:val="24"/>
                <w:highlight w:val="none"/>
                <w14:textFill>
                  <w14:solidFill>
                    <w14:schemeClr w14:val="tx1"/>
                  </w14:solidFill>
                </w14:textFill>
              </w:rPr>
            </w:pPr>
            <w:r>
              <w:rPr>
                <w:rFonts w:hint="eastAsia"/>
                <w:b/>
                <w:color w:val="000000" w:themeColor="text1"/>
                <w:sz w:val="24"/>
                <w:szCs w:val="24"/>
                <w:highlight w:val="none"/>
                <w14:textFill>
                  <w14:solidFill>
                    <w14:schemeClr w14:val="tx1"/>
                  </w14:solidFill>
                </w14:textFill>
              </w:rPr>
              <w:t xml:space="preserve">5.2 </w:t>
            </w:r>
            <w:r>
              <w:rPr>
                <w:b/>
                <w:color w:val="000000" w:themeColor="text1"/>
                <w:sz w:val="24"/>
                <w:szCs w:val="24"/>
                <w:highlight w:val="none"/>
                <w14:textFill>
                  <w14:solidFill>
                    <w14:schemeClr w14:val="tx1"/>
                  </w14:solidFill>
                </w14:textFill>
              </w:rPr>
              <w:t>监测质量保证措施</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1、严格执行</w:t>
            </w:r>
            <w:r>
              <w:rPr>
                <w:rFonts w:hint="eastAsia"/>
                <w:color w:val="000000" w:themeColor="text1"/>
                <w:sz w:val="24"/>
                <w:szCs w:val="24"/>
                <w:highlight w:val="none"/>
                <w14:textFill>
                  <w14:solidFill>
                    <w14:schemeClr w14:val="tx1"/>
                  </w14:solidFill>
                </w14:textFill>
              </w:rPr>
              <w:t>生态环境</w:t>
            </w:r>
            <w:r>
              <w:rPr>
                <w:color w:val="000000" w:themeColor="text1"/>
                <w:sz w:val="24"/>
                <w:szCs w:val="24"/>
                <w:highlight w:val="none"/>
                <w14:textFill>
                  <w14:solidFill>
                    <w14:schemeClr w14:val="tx1"/>
                  </w14:solidFill>
                </w14:textFill>
              </w:rPr>
              <w:t>部颁布的环境监测相关技术规范与标准方法，实施检测全过程的质量控制。</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2、所有</w:t>
            </w:r>
            <w:r>
              <w:rPr>
                <w:rFonts w:hint="eastAsia"/>
                <w:color w:val="000000" w:themeColor="text1"/>
                <w:sz w:val="24"/>
                <w:szCs w:val="24"/>
                <w:highlight w:val="none"/>
                <w14:textFill>
                  <w14:solidFill>
                    <w14:schemeClr w14:val="tx1"/>
                  </w14:solidFill>
                </w14:textFill>
              </w:rPr>
              <w:t>检</w:t>
            </w:r>
            <w:r>
              <w:rPr>
                <w:color w:val="000000" w:themeColor="text1"/>
                <w:sz w:val="24"/>
                <w:szCs w:val="24"/>
                <w:highlight w:val="none"/>
                <w14:textFill>
                  <w14:solidFill>
                    <w14:schemeClr w14:val="tx1"/>
                  </w14:solidFill>
                </w14:textFill>
              </w:rPr>
              <w:t>测分析仪器均经检定并在有效期内，且参照有关计量检定规程定期进行校验和维护。</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3、严格按照国家规定的监测分析方法标准和相应的技术规范进行采样及检测。</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4、为确保检测数据的准确、可靠，在样品的采集、运输、保存、实验室分析和数据计算 的全过程均按照相关技术规范的要求进行。</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5、</w:t>
            </w:r>
            <w:r>
              <w:rPr>
                <w:color w:val="000000" w:themeColor="text1"/>
                <w:sz w:val="24"/>
                <w:szCs w:val="24"/>
                <w:highlight w:val="none"/>
                <w14:textFill>
                  <w14:solidFill>
                    <w14:schemeClr w14:val="tx1"/>
                  </w14:solidFill>
                </w14:textFill>
              </w:rPr>
              <w:t>样品采取</w:t>
            </w:r>
            <w:r>
              <w:rPr>
                <w:rFonts w:hint="eastAsia"/>
                <w:color w:val="000000" w:themeColor="text1"/>
                <w:sz w:val="24"/>
                <w:szCs w:val="24"/>
                <w:highlight w:val="none"/>
                <w14:textFill>
                  <w14:solidFill>
                    <w14:schemeClr w14:val="tx1"/>
                  </w14:solidFill>
                </w14:textFill>
              </w:rPr>
              <w:t>平行双样测定</w:t>
            </w:r>
            <w:r>
              <w:rPr>
                <w:color w:val="000000" w:themeColor="text1"/>
                <w:sz w:val="24"/>
                <w:szCs w:val="24"/>
                <w:highlight w:val="none"/>
                <w14:textFill>
                  <w14:solidFill>
                    <w14:schemeClr w14:val="tx1"/>
                  </w14:solidFill>
                </w14:textFill>
              </w:rPr>
              <w:t>方式进行质量控制，</w:t>
            </w:r>
            <w:r>
              <w:rPr>
                <w:rFonts w:hint="eastAsia"/>
                <w:color w:val="000000" w:themeColor="text1"/>
                <w:sz w:val="24"/>
                <w:szCs w:val="24"/>
                <w:highlight w:val="none"/>
                <w14:textFill>
                  <w14:solidFill>
                    <w14:schemeClr w14:val="tx1"/>
                  </w14:solidFill>
                </w14:textFill>
              </w:rPr>
              <w:t>其</w:t>
            </w:r>
            <w:r>
              <w:rPr>
                <w:color w:val="000000" w:themeColor="text1"/>
                <w:sz w:val="24"/>
                <w:szCs w:val="24"/>
                <w:highlight w:val="none"/>
                <w14:textFill>
                  <w14:solidFill>
                    <w14:schemeClr w14:val="tx1"/>
                  </w14:solidFill>
                </w14:textFill>
              </w:rPr>
              <w:t>样品质控样分析结果在质控要求范围内。</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highlight w:val="none"/>
                <w14:textFill>
                  <w14:solidFill>
                    <w14:schemeClr w14:val="tx1"/>
                  </w14:solidFill>
                </w14:textFill>
              </w:rPr>
              <w:t>6、监测人员经考核合格，持证上岗。</w:t>
            </w:r>
          </w:p>
        </w:tc>
      </w:tr>
    </w:tbl>
    <w:p>
      <w:pPr>
        <w:pStyle w:val="3"/>
        <w:rPr>
          <w:b w:val="0"/>
          <w:bCs/>
          <w:color w:val="000000" w:themeColor="text1"/>
          <w:szCs w:val="24"/>
          <w14:textFill>
            <w14:solidFill>
              <w14:schemeClr w14:val="tx1"/>
            </w14:solidFill>
          </w14:textFill>
        </w:rPr>
      </w:pPr>
      <w:bookmarkStart w:id="6" w:name="_Toc523906060"/>
      <w:r>
        <w:rPr>
          <w:color w:val="000000" w:themeColor="text1"/>
          <w14:textFill>
            <w14:solidFill>
              <w14:schemeClr w14:val="tx1"/>
            </w14:solidFill>
          </w14:textFill>
        </w:rPr>
        <w:t>表</w:t>
      </w:r>
      <w:r>
        <w:rPr>
          <w:rFonts w:hint="eastAsia"/>
          <w:color w:val="000000" w:themeColor="text1"/>
          <w14:textFill>
            <w14:solidFill>
              <w14:schemeClr w14:val="tx1"/>
            </w14:solidFill>
          </w14:textFill>
        </w:rPr>
        <w:t>六</w:t>
      </w:r>
      <w:r>
        <w:rPr>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验收监测内容</w:t>
      </w:r>
      <w:bookmarkEnd w:id="6"/>
    </w:p>
    <w:tbl>
      <w:tblPr>
        <w:tblStyle w:val="29"/>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9" w:hRule="atLeast"/>
        </w:trPr>
        <w:tc>
          <w:tcPr>
            <w:tcW w:w="9287" w:type="dxa"/>
            <w:shd w:val="clear" w:color="auto" w:fill="auto"/>
          </w:tcPr>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采用资料收集、实地踏勘论证的方法，以建设项目环境影响</w:t>
            </w:r>
            <w:r>
              <w:rPr>
                <w:rFonts w:hint="eastAsia"/>
                <w:color w:val="000000" w:themeColor="text1"/>
                <w:sz w:val="24"/>
                <w:szCs w:val="24"/>
                <w:highlight w:val="none"/>
                <w14:textFill>
                  <w14:solidFill>
                    <w14:schemeClr w14:val="tx1"/>
                  </w14:solidFill>
                </w14:textFill>
              </w:rPr>
              <w:t>报告表</w:t>
            </w:r>
            <w:r>
              <w:rPr>
                <w:color w:val="000000" w:themeColor="text1"/>
                <w:sz w:val="24"/>
                <w:szCs w:val="24"/>
                <w:highlight w:val="none"/>
                <w14:textFill>
                  <w14:solidFill>
                    <w14:schemeClr w14:val="tx1"/>
                  </w14:solidFill>
                </w14:textFill>
              </w:rPr>
              <w:t>、批复为依据，对项目污染源及其环保设施进行监测、检查和验收。</w:t>
            </w:r>
          </w:p>
          <w:p>
            <w:pPr>
              <w:pStyle w:val="88"/>
              <w:ind w:firstLine="482"/>
              <w:rPr>
                <w:color w:val="000000" w:themeColor="text1"/>
                <w:highlight w:val="none"/>
                <w14:textFill>
                  <w14:solidFill>
                    <w14:schemeClr w14:val="tx1"/>
                  </w14:solidFill>
                </w14:textFill>
              </w:rPr>
            </w:pPr>
            <w:r>
              <w:rPr>
                <w:b/>
                <w:color w:val="000000" w:themeColor="text1"/>
                <w:szCs w:val="24"/>
                <w:highlight w:val="none"/>
                <w14:textFill>
                  <w14:solidFill>
                    <w14:schemeClr w14:val="tx1"/>
                  </w14:solidFill>
                </w14:textFill>
              </w:rPr>
              <w:t>验收监测方案</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1、有组织排放废气监测</w:t>
            </w:r>
          </w:p>
          <w:p>
            <w:pPr>
              <w:adjustRightInd w:val="0"/>
              <w:snapToGrid w:val="0"/>
              <w:spacing w:line="360" w:lineRule="auto"/>
              <w:ind w:firstLine="480" w:firstLineChars="200"/>
              <w:rPr>
                <w:rFonts w:hint="eastAsia"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排气筒DA00</w:t>
            </w:r>
            <w:r>
              <w:rPr>
                <w:rFonts w:hint="eastAsia"/>
                <w:color w:val="000000" w:themeColor="text1"/>
                <w:sz w:val="24"/>
                <w:szCs w:val="24"/>
                <w:highlight w:val="none"/>
                <w:lang w:val="en-US" w:eastAsia="zh-CN"/>
                <w14:textFill>
                  <w14:solidFill>
                    <w14:schemeClr w14:val="tx1"/>
                  </w14:solidFill>
                </w14:textFill>
              </w:rPr>
              <w:t>1</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监测点位：排气筒DA00</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出口；</w:t>
            </w:r>
          </w:p>
          <w:p>
            <w:pPr>
              <w:adjustRightInd w:val="0"/>
              <w:snapToGrid w:val="0"/>
              <w:spacing w:line="360" w:lineRule="auto"/>
              <w:ind w:firstLine="480" w:firstLineChars="200"/>
              <w:rPr>
                <w:rFonts w:hint="eastAsia"/>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监测项目：</w:t>
            </w:r>
            <w:r>
              <w:rPr>
                <w:rFonts w:hint="eastAsia"/>
                <w:color w:val="000000" w:themeColor="text1"/>
                <w:sz w:val="24"/>
                <w:szCs w:val="24"/>
                <w:highlight w:val="none"/>
                <w14:textFill>
                  <w14:solidFill>
                    <w14:schemeClr w14:val="tx1"/>
                  </w14:solidFill>
                </w14:textFill>
              </w:rPr>
              <w:t>氨、硫化氢、臭气浓度*</w:t>
            </w:r>
          </w:p>
          <w:p>
            <w:pPr>
              <w:adjustRightInd w:val="0"/>
              <w:snapToGrid w:val="0"/>
              <w:spacing w:line="360" w:lineRule="auto"/>
              <w:ind w:firstLine="480" w:firstLineChars="200"/>
              <w:rPr>
                <w:rFonts w:hint="eastAsia"/>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监测频次：</w:t>
            </w: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次/天，监测2天。</w:t>
            </w:r>
          </w:p>
          <w:p>
            <w:pPr>
              <w:adjustRightInd w:val="0"/>
              <w:snapToGrid w:val="0"/>
              <w:spacing w:line="360" w:lineRule="auto"/>
              <w:ind w:firstLine="480" w:firstLineChars="200"/>
              <w:rPr>
                <w:rFonts w:hint="eastAsia"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排气筒DA00</w:t>
            </w:r>
            <w:r>
              <w:rPr>
                <w:rFonts w:hint="eastAsia"/>
                <w:color w:val="000000" w:themeColor="text1"/>
                <w:sz w:val="24"/>
                <w:szCs w:val="24"/>
                <w:highlight w:val="none"/>
                <w:lang w:val="en-US" w:eastAsia="zh-CN"/>
                <w14:textFill>
                  <w14:solidFill>
                    <w14:schemeClr w14:val="tx1"/>
                  </w14:solidFill>
                </w14:textFill>
              </w:rPr>
              <w:t>2</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监测点位：排气筒DA00</w:t>
            </w: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出口；</w:t>
            </w:r>
          </w:p>
          <w:p>
            <w:pPr>
              <w:adjustRightInd w:val="0"/>
              <w:snapToGrid w:val="0"/>
              <w:spacing w:line="360" w:lineRule="auto"/>
              <w:ind w:firstLine="480" w:firstLineChars="200"/>
              <w:rPr>
                <w:rFonts w:hint="eastAsia"/>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监测项目：</w:t>
            </w:r>
            <w:r>
              <w:rPr>
                <w:rFonts w:hint="eastAsia"/>
                <w:color w:val="000000" w:themeColor="text1"/>
                <w:sz w:val="24"/>
                <w:szCs w:val="24"/>
                <w:highlight w:val="none"/>
                <w14:textFill>
                  <w14:solidFill>
                    <w14:schemeClr w14:val="tx1"/>
                  </w14:solidFill>
                </w14:textFill>
              </w:rPr>
              <w:t>非甲烷总烃、苯、甲醇、硫酸雾、氮氧化物、氯化氢</w:t>
            </w:r>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sz w:val="24"/>
                <w:szCs w:val="24"/>
                <w:highlight w:val="none"/>
                <w14:textFill>
                  <w14:solidFill>
                    <w14:schemeClr w14:val="tx1"/>
                  </w14:solidFill>
                </w14:textFill>
              </w:rPr>
              <w:t>监测频次：</w:t>
            </w: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次/天，监测2天。</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2、无组织排放废气监测</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监测点位：</w:t>
            </w:r>
            <w:r>
              <w:rPr>
                <w:rFonts w:hint="eastAsia"/>
                <w:color w:val="000000" w:themeColor="text1"/>
                <w:sz w:val="24"/>
                <w:szCs w:val="24"/>
                <w:highlight w:val="none"/>
                <w:lang w:val="en-US" w:eastAsia="zh-CN"/>
                <w14:textFill>
                  <w14:solidFill>
                    <w14:schemeClr w14:val="tx1"/>
                  </w14:solidFill>
                </w14:textFill>
              </w:rPr>
              <w:t>厂界上风向检测点 WQ01</w:t>
            </w:r>
            <w:r>
              <w:rPr>
                <w:color w:val="000000" w:themeColor="text1"/>
                <w:sz w:val="24"/>
                <w:szCs w:val="24"/>
                <w:highlight w:val="none"/>
                <w14:textFill>
                  <w14:solidFill>
                    <w14:schemeClr w14:val="tx1"/>
                  </w14:solidFill>
                </w14:textFill>
              </w:rPr>
              <w:t>、厂界下风向（</w:t>
            </w:r>
            <w:r>
              <w:rPr>
                <w:rFonts w:hint="eastAsia"/>
                <w:color w:val="000000" w:themeColor="text1"/>
                <w:sz w:val="24"/>
                <w:szCs w:val="24"/>
                <w:highlight w:val="none"/>
                <w:lang w:val="en-US" w:eastAsia="zh-CN"/>
                <w14:textFill>
                  <w14:solidFill>
                    <w14:schemeClr w14:val="tx1"/>
                  </w14:solidFill>
                </w14:textFill>
              </w:rPr>
              <w:t>WQ02</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WQ03</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WQ04</w:t>
            </w:r>
            <w:r>
              <w:rPr>
                <w:color w:val="000000" w:themeColor="text1"/>
                <w:sz w:val="24"/>
                <w:szCs w:val="24"/>
                <w:highlight w:val="none"/>
                <w14:textFill>
                  <w14:solidFill>
                    <w14:schemeClr w14:val="tx1"/>
                  </w14:solidFill>
                </w14:textFill>
              </w:rPr>
              <w:t>）</w:t>
            </w:r>
          </w:p>
          <w:p>
            <w:pPr>
              <w:adjustRightInd w:val="0"/>
              <w:snapToGrid w:val="0"/>
              <w:spacing w:line="360" w:lineRule="auto"/>
              <w:ind w:left="1679" w:leftChars="228" w:hanging="1200" w:hangingChars="500"/>
              <w:rPr>
                <w:rFonts w:hint="eastAsia"/>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监测项目：</w:t>
            </w:r>
            <w:r>
              <w:rPr>
                <w:rFonts w:hint="eastAsia"/>
                <w:color w:val="000000" w:themeColor="text1"/>
                <w:sz w:val="24"/>
                <w:szCs w:val="24"/>
                <w:highlight w:val="none"/>
                <w14:textFill>
                  <w14:solidFill>
                    <w14:schemeClr w14:val="tx1"/>
                  </w14:solidFill>
                </w14:textFill>
              </w:rPr>
              <w:t>氨、硫化氢、臭气浓度*、非甲烷总烃、苯、甲醇、硫酸雾、氮氧化物、氯化氢</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监测频次：</w:t>
            </w:r>
            <w:r>
              <w:rPr>
                <w:rFonts w:hint="eastAsia"/>
                <w:color w:val="000000" w:themeColor="text1"/>
                <w:sz w:val="24"/>
                <w:szCs w:val="24"/>
                <w:highlight w:val="none"/>
                <w:lang w:val="en-US" w:eastAsia="zh-CN"/>
                <w14:textFill>
                  <w14:solidFill>
                    <w14:schemeClr w14:val="tx1"/>
                  </w14:solidFill>
                </w14:textFill>
              </w:rPr>
              <w:t>3</w:t>
            </w:r>
            <w:r>
              <w:rPr>
                <w:color w:val="000000" w:themeColor="text1"/>
                <w:sz w:val="24"/>
                <w:szCs w:val="24"/>
                <w:highlight w:val="none"/>
                <w14:textFill>
                  <w14:solidFill>
                    <w14:schemeClr w14:val="tx1"/>
                  </w14:solidFill>
                </w14:textFill>
              </w:rPr>
              <w:t>次/天</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监测</w:t>
            </w:r>
            <w:r>
              <w:rPr>
                <w:rFonts w:hint="eastAsia"/>
                <w:color w:val="000000" w:themeColor="text1"/>
                <w:sz w:val="24"/>
                <w:szCs w:val="24"/>
                <w:highlight w:val="none"/>
                <w14:textFill>
                  <w14:solidFill>
                    <w14:schemeClr w14:val="tx1"/>
                  </w14:solidFill>
                </w14:textFill>
              </w:rPr>
              <w:t>2</w:t>
            </w:r>
            <w:r>
              <w:rPr>
                <w:color w:val="000000" w:themeColor="text1"/>
                <w:sz w:val="24"/>
                <w:szCs w:val="24"/>
                <w:highlight w:val="none"/>
                <w14:textFill>
                  <w14:solidFill>
                    <w14:schemeClr w14:val="tx1"/>
                  </w14:solidFill>
                </w14:textFill>
              </w:rPr>
              <w:t>天</w:t>
            </w:r>
            <w:r>
              <w:rPr>
                <w:rFonts w:hint="eastAsia"/>
                <w:color w:val="000000" w:themeColor="text1"/>
                <w:sz w:val="24"/>
                <w:szCs w:val="24"/>
                <w:highlight w:val="none"/>
                <w14:textFill>
                  <w14:solidFill>
                    <w14:schemeClr w14:val="tx1"/>
                  </w14:solidFill>
                </w14:textFill>
              </w:rPr>
              <w:t>。</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3、废水监测</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监测点位：</w:t>
            </w:r>
            <w:r>
              <w:rPr>
                <w:rFonts w:hint="eastAsia"/>
                <w:color w:val="000000" w:themeColor="text1"/>
                <w:sz w:val="24"/>
                <w:szCs w:val="24"/>
                <w:highlight w:val="none"/>
                <w14:textFill>
                  <w14:solidFill>
                    <w14:schemeClr w14:val="tx1"/>
                  </w14:solidFill>
                </w14:textFill>
              </w:rPr>
              <w:t>废水总排口（DW001）</w:t>
            </w:r>
            <w:r>
              <w:rPr>
                <w:color w:val="000000" w:themeColor="text1"/>
                <w:sz w:val="24"/>
                <w:szCs w:val="24"/>
                <w:highlight w:val="none"/>
                <w14:textFill>
                  <w14:solidFill>
                    <w14:schemeClr w14:val="tx1"/>
                  </w14:solidFill>
                </w14:textFill>
              </w:rPr>
              <w:t>；</w:t>
            </w:r>
          </w:p>
          <w:p>
            <w:pPr>
              <w:adjustRightInd w:val="0"/>
              <w:snapToGrid w:val="0"/>
              <w:spacing w:line="360" w:lineRule="auto"/>
              <w:ind w:left="1679" w:leftChars="228" w:hanging="1200" w:hangingChars="500"/>
              <w:rPr>
                <w:rFonts w:hint="eastAsia" w:eastAsia="宋体"/>
                <w:color w:val="000000" w:themeColor="text1"/>
                <w:sz w:val="24"/>
                <w:szCs w:val="24"/>
                <w:highlight w:val="none"/>
                <w:lang w:eastAsia="zh-CN"/>
                <w14:textFill>
                  <w14:solidFill>
                    <w14:schemeClr w14:val="tx1"/>
                  </w14:solidFill>
                </w14:textFill>
              </w:rPr>
            </w:pPr>
            <w:r>
              <w:rPr>
                <w:color w:val="000000" w:themeColor="text1"/>
                <w:sz w:val="24"/>
                <w:szCs w:val="24"/>
                <w:highlight w:val="none"/>
                <w14:textFill>
                  <w14:solidFill>
                    <w14:schemeClr w14:val="tx1"/>
                  </w14:solidFill>
                </w14:textFill>
              </w:rPr>
              <w:t>监测项目：pH</w:t>
            </w:r>
            <w:r>
              <w:rPr>
                <w:rFonts w:hint="eastAsia"/>
                <w:color w:val="000000" w:themeColor="text1"/>
                <w:sz w:val="24"/>
                <w:szCs w:val="24"/>
                <w:highlight w:val="none"/>
                <w14:textFill>
                  <w14:solidFill>
                    <w14:schemeClr w14:val="tx1"/>
                  </w14:solidFill>
                </w14:textFill>
              </w:rPr>
              <w:t>值、化学需氧量、五日生化需氧量、悬浮物、氨氮、</w:t>
            </w:r>
            <w:r>
              <w:rPr>
                <w:rFonts w:hint="eastAsia"/>
                <w:color w:val="000000" w:themeColor="text1"/>
                <w:sz w:val="24"/>
                <w:szCs w:val="24"/>
                <w:highlight w:val="none"/>
                <w:lang w:eastAsia="zh-CN"/>
                <w14:textFill>
                  <w14:solidFill>
                    <w14:schemeClr w14:val="tx1"/>
                  </w14:solidFill>
                </w14:textFill>
              </w:rPr>
              <w:t>总磷、总氮、粪大肠菌群、阴离子表面活性剂、总余氯</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监测频次：</w:t>
            </w:r>
            <w:r>
              <w:rPr>
                <w:rFonts w:hint="eastAsia"/>
                <w:color w:val="000000" w:themeColor="text1"/>
                <w:sz w:val="24"/>
                <w:szCs w:val="24"/>
                <w:highlight w:val="none"/>
                <w:lang w:val="en-US" w:eastAsia="zh-CN"/>
                <w14:textFill>
                  <w14:solidFill>
                    <w14:schemeClr w14:val="tx1"/>
                  </w14:solidFill>
                </w14:textFill>
              </w:rPr>
              <w:t>4</w:t>
            </w:r>
            <w:r>
              <w:rPr>
                <w:color w:val="000000" w:themeColor="text1"/>
                <w:sz w:val="24"/>
                <w:szCs w:val="24"/>
                <w:highlight w:val="none"/>
                <w14:textFill>
                  <w14:solidFill>
                    <w14:schemeClr w14:val="tx1"/>
                  </w14:solidFill>
                </w14:textFill>
              </w:rPr>
              <w:t>次/天</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监测</w:t>
            </w:r>
            <w:r>
              <w:rPr>
                <w:rFonts w:hint="eastAsia"/>
                <w:color w:val="000000" w:themeColor="text1"/>
                <w:sz w:val="24"/>
                <w:szCs w:val="24"/>
                <w:highlight w:val="none"/>
                <w14:textFill>
                  <w14:solidFill>
                    <w14:schemeClr w14:val="tx1"/>
                  </w14:solidFill>
                </w14:textFill>
              </w:rPr>
              <w:t>2</w:t>
            </w:r>
            <w:r>
              <w:rPr>
                <w:color w:val="000000" w:themeColor="text1"/>
                <w:sz w:val="24"/>
                <w:szCs w:val="24"/>
                <w:highlight w:val="none"/>
                <w14:textFill>
                  <w14:solidFill>
                    <w14:schemeClr w14:val="tx1"/>
                  </w14:solidFill>
                </w14:textFill>
              </w:rPr>
              <w:t>天</w:t>
            </w:r>
            <w:r>
              <w:rPr>
                <w:rFonts w:hint="eastAsia"/>
                <w:color w:val="000000" w:themeColor="text1"/>
                <w:sz w:val="24"/>
                <w:szCs w:val="24"/>
                <w:highlight w:val="none"/>
                <w14:textFill>
                  <w14:solidFill>
                    <w14:schemeClr w14:val="tx1"/>
                  </w14:solidFill>
                </w14:textFill>
              </w:rPr>
              <w:t>。</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4、噪声监测</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监测点位：</w:t>
            </w:r>
            <w:r>
              <w:rPr>
                <w:rFonts w:hint="eastAsia"/>
                <w:color w:val="000000" w:themeColor="text1"/>
                <w:sz w:val="24"/>
                <w:szCs w:val="24"/>
                <w:highlight w:val="none"/>
                <w14:textFill>
                  <w14:solidFill>
                    <w14:schemeClr w14:val="tx1"/>
                  </w14:solidFill>
                </w14:textFill>
              </w:rPr>
              <w:t>沿厂界四周共</w:t>
            </w:r>
            <w:r>
              <w:rPr>
                <w:color w:val="000000" w:themeColor="text1"/>
                <w:sz w:val="24"/>
                <w:szCs w:val="24"/>
                <w:highlight w:val="none"/>
                <w14:textFill>
                  <w14:solidFill>
                    <w14:schemeClr w14:val="tx1"/>
                  </w14:solidFill>
                </w14:textFill>
              </w:rPr>
              <w:t>布设4个监测点位（N1～N4）；</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监测项目：</w:t>
            </w:r>
            <w:r>
              <w:rPr>
                <w:rFonts w:hint="eastAsia"/>
                <w:color w:val="000000" w:themeColor="text1"/>
                <w:sz w:val="24"/>
                <w:szCs w:val="24"/>
                <w:highlight w:val="none"/>
                <w:lang w:val="en-US" w:eastAsia="zh-CN"/>
                <w14:textFill>
                  <w14:solidFill>
                    <w14:schemeClr w14:val="tx1"/>
                  </w14:solidFill>
                </w14:textFill>
              </w:rPr>
              <w:t>Leq</w:t>
            </w:r>
            <w:r>
              <w:rPr>
                <w:color w:val="000000" w:themeColor="text1"/>
                <w:sz w:val="24"/>
                <w:szCs w:val="24"/>
                <w:highlight w:val="none"/>
                <w14:textFill>
                  <w14:solidFill>
                    <w14:schemeClr w14:val="tx1"/>
                  </w14:solidFill>
                </w14:textFill>
              </w:rPr>
              <w:t>；</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监测频次：昼、夜各监测1次，监测2天。</w:t>
            </w:r>
          </w:p>
          <w:p>
            <w:pPr>
              <w:spacing w:line="360" w:lineRule="auto"/>
              <w:ind w:firstLine="420" w:firstLineChars="200"/>
              <w:rPr>
                <w:color w:val="000000" w:themeColor="text1"/>
                <w:szCs w:val="21"/>
                <w:highlight w:val="none"/>
                <w14:textFill>
                  <w14:solidFill>
                    <w14:schemeClr w14:val="tx1"/>
                  </w14:solidFill>
                </w14:textFill>
              </w:rPr>
            </w:pPr>
          </w:p>
          <w:p>
            <w:pPr>
              <w:spacing w:line="360" w:lineRule="auto"/>
              <w:ind w:firstLine="480" w:firstLineChars="200"/>
              <w:rPr>
                <w:color w:val="000000" w:themeColor="text1"/>
                <w:sz w:val="24"/>
                <w:highlight w:val="yellow"/>
                <w14:textFill>
                  <w14:solidFill>
                    <w14:schemeClr w14:val="tx1"/>
                  </w14:solidFill>
                </w14:textFill>
              </w:rPr>
            </w:pPr>
          </w:p>
        </w:tc>
      </w:tr>
    </w:tbl>
    <w:p>
      <w:pPr>
        <w:pStyle w:val="3"/>
        <w:rPr>
          <w:b w:val="0"/>
          <w:bCs/>
          <w:color w:val="000000" w:themeColor="text1"/>
          <w:szCs w:val="24"/>
          <w:highlight w:val="none"/>
          <w14:textFill>
            <w14:solidFill>
              <w14:schemeClr w14:val="tx1"/>
            </w14:solidFill>
          </w14:textFill>
        </w:rPr>
      </w:pPr>
      <w:bookmarkStart w:id="7" w:name="_Toc523906061"/>
      <w:r>
        <w:rPr>
          <w:color w:val="000000" w:themeColor="text1"/>
          <w:highlight w:val="none"/>
          <w14:textFill>
            <w14:solidFill>
              <w14:schemeClr w14:val="tx1"/>
            </w14:solidFill>
          </w14:textFill>
        </w:rPr>
        <w:t>表</w:t>
      </w:r>
      <w:r>
        <w:rPr>
          <w:rFonts w:hint="eastAsia"/>
          <w:color w:val="000000" w:themeColor="text1"/>
          <w:highlight w:val="none"/>
          <w14:textFill>
            <w14:solidFill>
              <w14:schemeClr w14:val="tx1"/>
            </w14:solidFill>
          </w14:textFill>
        </w:rPr>
        <w:t>七</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验收</w:t>
      </w:r>
      <w:r>
        <w:rPr>
          <w:color w:val="000000" w:themeColor="text1"/>
          <w:highlight w:val="none"/>
          <w14:textFill>
            <w14:solidFill>
              <w14:schemeClr w14:val="tx1"/>
            </w14:solidFill>
          </w14:textFill>
        </w:rPr>
        <w:t>监测结果及分析</w:t>
      </w:r>
      <w:bookmarkEnd w:id="7"/>
    </w:p>
    <w:tbl>
      <w:tblPr>
        <w:tblStyle w:val="29"/>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34" w:hRule="atLeast"/>
        </w:trPr>
        <w:tc>
          <w:tcPr>
            <w:tcW w:w="9287" w:type="dxa"/>
            <w:tcBorders>
              <w:top w:val="single" w:color="auto" w:sz="12" w:space="0"/>
              <w:bottom w:val="single" w:color="auto" w:sz="4" w:space="0"/>
            </w:tcBorders>
            <w:shd w:val="clear" w:color="auto" w:fill="auto"/>
          </w:tcPr>
          <w:p>
            <w:pPr>
              <w:spacing w:line="360" w:lineRule="auto"/>
              <w:rPr>
                <w:b/>
                <w:color w:val="000000" w:themeColor="text1"/>
                <w:sz w:val="24"/>
                <w:szCs w:val="24"/>
                <w:highlight w:val="none"/>
                <w14:textFill>
                  <w14:solidFill>
                    <w14:schemeClr w14:val="tx1"/>
                  </w14:solidFill>
                </w14:textFill>
              </w:rPr>
            </w:pPr>
            <w:bookmarkStart w:id="8" w:name="OLE_LINK15"/>
            <w:r>
              <w:rPr>
                <w:b/>
                <w:color w:val="000000" w:themeColor="text1"/>
                <w:sz w:val="24"/>
                <w:szCs w:val="24"/>
                <w:highlight w:val="none"/>
                <w14:textFill>
                  <w14:solidFill>
                    <w14:schemeClr w14:val="tx1"/>
                  </w14:solidFill>
                </w14:textFill>
              </w:rPr>
              <w:t>7.1 监测期间工况调查</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根据现场调查及厂方提供的资料，</w:t>
            </w:r>
            <w:r>
              <w:rPr>
                <w:rFonts w:hint="eastAsia"/>
                <w:color w:val="000000" w:themeColor="text1"/>
                <w:sz w:val="24"/>
                <w:szCs w:val="24"/>
                <w:highlight w:val="none"/>
                <w14:textFill>
                  <w14:solidFill>
                    <w14:schemeClr w14:val="tx1"/>
                  </w14:solidFill>
                </w14:textFill>
              </w:rPr>
              <w:t>验收时</w:t>
            </w:r>
            <w:r>
              <w:rPr>
                <w:color w:val="000000" w:themeColor="text1"/>
                <w:sz w:val="24"/>
                <w:szCs w:val="24"/>
                <w:highlight w:val="none"/>
                <w14:textFill>
                  <w14:solidFill>
                    <w14:schemeClr w14:val="tx1"/>
                  </w14:solidFill>
                </w14:textFill>
              </w:rPr>
              <w:t>实际</w:t>
            </w:r>
            <w:r>
              <w:rPr>
                <w:rFonts w:hint="eastAsia"/>
                <w:color w:val="000000" w:themeColor="text1"/>
                <w:sz w:val="24"/>
                <w:szCs w:val="24"/>
                <w:highlight w:val="none"/>
                <w:lang w:eastAsia="zh-CN"/>
                <w14:textFill>
                  <w14:solidFill>
                    <w14:schemeClr w14:val="tx1"/>
                  </w14:solidFill>
                </w14:textFill>
              </w:rPr>
              <w:t>能够达到环评产能</w:t>
            </w:r>
            <w:r>
              <w:rPr>
                <w:color w:val="000000" w:themeColor="text1"/>
                <w:sz w:val="24"/>
                <w:szCs w:val="24"/>
                <w:highlight w:val="none"/>
                <w14:textFill>
                  <w14:solidFill>
                    <w14:schemeClr w14:val="tx1"/>
                  </w14:solidFill>
                </w14:textFill>
              </w:rPr>
              <w:t>。</w:t>
            </w:r>
          </w:p>
          <w:p>
            <w:pPr>
              <w:spacing w:line="360" w:lineRule="auto"/>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7.2 污染源排放监测结果</w:t>
            </w:r>
          </w:p>
          <w:p>
            <w:pPr>
              <w:spacing w:line="360" w:lineRule="auto"/>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7.2.1 有组织废气排放监测结果及分析</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项目有组织排放废气监测结果见</w:t>
            </w:r>
            <w:r>
              <w:rPr>
                <w:rFonts w:hint="eastAsia"/>
                <w:color w:val="000000" w:themeColor="text1"/>
                <w:sz w:val="24"/>
                <w:szCs w:val="24"/>
                <w:highlight w:val="none"/>
                <w:lang w:eastAsia="zh-CN"/>
                <w14:textFill>
                  <w14:solidFill>
                    <w14:schemeClr w14:val="tx1"/>
                  </w14:solidFill>
                </w14:textFill>
              </w:rPr>
              <w:t>下表</w:t>
            </w:r>
            <w:r>
              <w:rPr>
                <w:color w:val="000000" w:themeColor="text1"/>
                <w:sz w:val="24"/>
                <w:szCs w:val="24"/>
                <w:highlight w:val="none"/>
                <w14:textFill>
                  <w14:solidFill>
                    <w14:schemeClr w14:val="tx1"/>
                  </w14:solidFill>
                </w14:textFill>
              </w:rPr>
              <w:t>。</w:t>
            </w:r>
          </w:p>
          <w:p>
            <w:pPr>
              <w:jc w:val="center"/>
              <w:rPr>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表7-1 有组织废气监测结果一览表</w:t>
            </w:r>
          </w:p>
          <w:tbl>
            <w:tblPr>
              <w:tblStyle w:val="29"/>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481"/>
              <w:gridCol w:w="1194"/>
              <w:gridCol w:w="887"/>
              <w:gridCol w:w="1637"/>
              <w:gridCol w:w="1049"/>
              <w:gridCol w:w="1040"/>
              <w:gridCol w:w="1051"/>
              <w:gridCol w:w="72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817" w:type="pct"/>
                  <w:vMerge w:val="restart"/>
                  <w:tcBorders>
                    <w:tl2br w:val="nil"/>
                    <w:tr2bl w:val="nil"/>
                  </w:tcBorders>
                  <w:vAlign w:val="center"/>
                </w:tcPr>
                <w:p>
                  <w:pPr>
                    <w:pStyle w:val="69"/>
                    <w:jc w:val="center"/>
                    <w:rPr>
                      <w:rFonts w:hint="default" w:ascii="Times New Roman" w:hAnsi="Times New Roman" w:cs="Times New Roman"/>
                      <w:b w:val="0"/>
                      <w:bCs/>
                      <w:color w:val="000000" w:themeColor="text1"/>
                      <w:sz w:val="18"/>
                      <w:szCs w:val="18"/>
                      <w:highlight w:val="none"/>
                      <w:lang w:eastAsia="zh-CN"/>
                      <w14:textFill>
                        <w14:solidFill>
                          <w14:schemeClr w14:val="tx1"/>
                        </w14:solidFill>
                      </w14:textFill>
                    </w:rPr>
                  </w:pPr>
                  <w:r>
                    <w:rPr>
                      <w:rFonts w:hint="default" w:ascii="Times New Roman" w:hAnsi="Times New Roman" w:cs="Times New Roman"/>
                      <w:b w:val="0"/>
                      <w:bCs/>
                      <w:color w:val="000000" w:themeColor="text1"/>
                      <w:spacing w:val="-2"/>
                      <w:sz w:val="18"/>
                      <w:szCs w:val="18"/>
                      <w:highlight w:val="none"/>
                      <w:lang w:eastAsia="zh-CN"/>
                      <w14:textFill>
                        <w14:solidFill>
                          <w14:schemeClr w14:val="tx1"/>
                        </w14:solidFill>
                      </w14:textFill>
                    </w:rPr>
                    <w:t>点位编号及</w:t>
                  </w:r>
                  <w:r>
                    <w:rPr>
                      <w:rFonts w:hint="default" w:ascii="Times New Roman" w:hAnsi="Times New Roman" w:cs="Times New Roman"/>
                      <w:b w:val="0"/>
                      <w:bCs/>
                      <w:color w:val="000000" w:themeColor="text1"/>
                      <w:sz w:val="18"/>
                      <w:szCs w:val="18"/>
                      <w:highlight w:val="none"/>
                      <w:lang w:eastAsia="zh-CN"/>
                      <w14:textFill>
                        <w14:solidFill>
                          <w14:schemeClr w14:val="tx1"/>
                        </w14:solidFill>
                      </w14:textFill>
                    </w:rPr>
                    <w:t>名称</w:t>
                  </w:r>
                </w:p>
              </w:tc>
              <w:tc>
                <w:tcPr>
                  <w:tcW w:w="658" w:type="pct"/>
                  <w:vMerge w:val="restart"/>
                  <w:tcBorders>
                    <w:tl2br w:val="nil"/>
                    <w:tr2bl w:val="nil"/>
                  </w:tcBorders>
                  <w:vAlign w:val="center"/>
                </w:tcPr>
                <w:p>
                  <w:pPr>
                    <w:pStyle w:val="69"/>
                    <w:jc w:val="center"/>
                    <w:rPr>
                      <w:rFonts w:hint="default" w:ascii="Times New Roman" w:hAnsi="Times New Roman" w:cs="Times New Roman"/>
                      <w:b w:val="0"/>
                      <w:bCs/>
                      <w:color w:val="000000" w:themeColor="text1"/>
                      <w:spacing w:val="-2"/>
                      <w:sz w:val="18"/>
                      <w:szCs w:val="18"/>
                      <w:highlight w:val="none"/>
                      <w:lang w:eastAsia="zh-CN"/>
                      <w14:textFill>
                        <w14:solidFill>
                          <w14:schemeClr w14:val="tx1"/>
                        </w14:solidFill>
                      </w14:textFill>
                    </w:rPr>
                  </w:pPr>
                  <w:r>
                    <w:rPr>
                      <w:rFonts w:hint="default" w:ascii="Times New Roman" w:hAnsi="Times New Roman" w:cs="Times New Roman"/>
                      <w:b w:val="0"/>
                      <w:bCs/>
                      <w:color w:val="000000" w:themeColor="text1"/>
                      <w:spacing w:val="-2"/>
                      <w:sz w:val="18"/>
                      <w:szCs w:val="18"/>
                      <w:highlight w:val="none"/>
                      <w:lang w:eastAsia="zh-CN"/>
                      <w14:textFill>
                        <w14:solidFill>
                          <w14:schemeClr w14:val="tx1"/>
                        </w14:solidFill>
                      </w14:textFill>
                    </w:rPr>
                    <w:t>监测日期</w:t>
                  </w:r>
                </w:p>
              </w:tc>
              <w:tc>
                <w:tcPr>
                  <w:tcW w:w="1391" w:type="pct"/>
                  <w:gridSpan w:val="2"/>
                  <w:vMerge w:val="restart"/>
                  <w:tcBorders>
                    <w:tl2br w:val="nil"/>
                    <w:tr2bl w:val="nil"/>
                  </w:tcBorders>
                  <w:vAlign w:val="center"/>
                </w:tcPr>
                <w:p>
                  <w:pPr>
                    <w:pStyle w:val="69"/>
                    <w:jc w:val="center"/>
                    <w:rPr>
                      <w:rFonts w:hint="default" w:ascii="Times New Roman" w:hAnsi="Times New Roman" w:cs="Times New Roman"/>
                      <w:b w:val="0"/>
                      <w:bCs/>
                      <w:color w:val="000000" w:themeColor="text1"/>
                      <w:spacing w:val="-2"/>
                      <w:sz w:val="18"/>
                      <w:szCs w:val="18"/>
                      <w:highlight w:val="none"/>
                      <w:lang w:eastAsia="zh-CN"/>
                      <w14:textFill>
                        <w14:solidFill>
                          <w14:schemeClr w14:val="tx1"/>
                        </w14:solidFill>
                      </w14:textFill>
                    </w:rPr>
                  </w:pPr>
                  <w:r>
                    <w:rPr>
                      <w:rFonts w:hint="default" w:ascii="Times New Roman" w:hAnsi="Times New Roman" w:cs="Times New Roman"/>
                      <w:b w:val="0"/>
                      <w:bCs/>
                      <w:color w:val="000000" w:themeColor="text1"/>
                      <w:spacing w:val="-2"/>
                      <w:sz w:val="18"/>
                      <w:szCs w:val="18"/>
                      <w:highlight w:val="none"/>
                      <w:lang w:eastAsia="zh-CN"/>
                      <w14:textFill>
                        <w14:solidFill>
                          <w14:schemeClr w14:val="tx1"/>
                        </w14:solidFill>
                      </w14:textFill>
                    </w:rPr>
                    <w:t>监测项目</w:t>
                  </w:r>
                </w:p>
              </w:tc>
              <w:tc>
                <w:tcPr>
                  <w:tcW w:w="1730" w:type="pct"/>
                  <w:gridSpan w:val="3"/>
                  <w:tcBorders>
                    <w:tl2br w:val="nil"/>
                    <w:tr2bl w:val="nil"/>
                  </w:tcBorders>
                  <w:vAlign w:val="center"/>
                </w:tcPr>
                <w:p>
                  <w:pPr>
                    <w:pStyle w:val="69"/>
                    <w:jc w:val="center"/>
                    <w:rPr>
                      <w:rFonts w:hint="default" w:ascii="Times New Roman" w:hAnsi="Times New Roman" w:cs="Times New Roman"/>
                      <w:b w:val="0"/>
                      <w:bCs/>
                      <w:color w:val="000000" w:themeColor="text1"/>
                      <w:sz w:val="18"/>
                      <w:szCs w:val="18"/>
                      <w:highlight w:val="none"/>
                      <w:lang w:eastAsia="zh-CN"/>
                      <w14:textFill>
                        <w14:solidFill>
                          <w14:schemeClr w14:val="tx1"/>
                        </w14:solidFill>
                      </w14:textFill>
                    </w:rPr>
                  </w:pPr>
                  <w:r>
                    <w:rPr>
                      <w:rFonts w:hint="default" w:ascii="Times New Roman" w:hAnsi="Times New Roman" w:cs="Times New Roman"/>
                      <w:b w:val="0"/>
                      <w:bCs/>
                      <w:color w:val="000000" w:themeColor="text1"/>
                      <w:spacing w:val="-2"/>
                      <w:sz w:val="18"/>
                      <w:szCs w:val="18"/>
                      <w:highlight w:val="none"/>
                      <w:lang w:eastAsia="zh-CN"/>
                      <w14:textFill>
                        <w14:solidFill>
                          <w14:schemeClr w14:val="tx1"/>
                        </w14:solidFill>
                      </w14:textFill>
                    </w:rPr>
                    <w:t>监测结果</w:t>
                  </w:r>
                </w:p>
              </w:tc>
              <w:tc>
                <w:tcPr>
                  <w:tcW w:w="401" w:type="pct"/>
                  <w:vMerge w:val="restart"/>
                  <w:tcBorders>
                    <w:tl2br w:val="nil"/>
                    <w:tr2bl w:val="nil"/>
                  </w:tcBorders>
                  <w:vAlign w:val="center"/>
                </w:tcPr>
                <w:p>
                  <w:pPr>
                    <w:pStyle w:val="69"/>
                    <w:jc w:val="center"/>
                    <w:rPr>
                      <w:rFonts w:hint="default" w:ascii="Times New Roman" w:hAnsi="Times New Roman" w:cs="Times New Roman"/>
                      <w:b w:val="0"/>
                      <w:bCs/>
                      <w:color w:val="000000" w:themeColor="text1"/>
                      <w:spacing w:val="-2"/>
                      <w:sz w:val="18"/>
                      <w:szCs w:val="18"/>
                      <w:highlight w:val="none"/>
                      <w:lang w:eastAsia="zh-CN"/>
                      <w14:textFill>
                        <w14:solidFill>
                          <w14:schemeClr w14:val="tx1"/>
                        </w14:solidFill>
                      </w14:textFill>
                    </w:rPr>
                  </w:pPr>
                  <w:r>
                    <w:rPr>
                      <w:rFonts w:hint="default" w:ascii="Times New Roman" w:hAnsi="Times New Roman" w:cs="Times New Roman"/>
                      <w:b w:val="0"/>
                      <w:bCs/>
                      <w:color w:val="000000" w:themeColor="text1"/>
                      <w:spacing w:val="-2"/>
                      <w:sz w:val="18"/>
                      <w:szCs w:val="18"/>
                      <w:highlight w:val="none"/>
                      <w:lang w:eastAsia="zh-CN"/>
                      <w14:textFill>
                        <w14:solidFill>
                          <w14:schemeClr w14:val="tx1"/>
                        </w14:solidFill>
                      </w14:textFill>
                    </w:rPr>
                    <w:t>排气筒高度/m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817"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1391" w:type="pct"/>
                  <w:gridSpan w:val="2"/>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578" w:type="pct"/>
                  <w:tcBorders>
                    <w:tl2br w:val="nil"/>
                    <w:tr2bl w:val="nil"/>
                  </w:tcBorders>
                  <w:vAlign w:val="center"/>
                </w:tcPr>
                <w:p>
                  <w:pPr>
                    <w:pStyle w:val="69"/>
                    <w:jc w:val="center"/>
                    <w:rPr>
                      <w:rFonts w:hint="default" w:ascii="Times New Roman" w:hAnsi="Times New Roman" w:cs="Times New Roman"/>
                      <w:bCs/>
                      <w:color w:val="000000" w:themeColor="text1"/>
                      <w:sz w:val="18"/>
                      <w:szCs w:val="18"/>
                      <w:highlight w:val="none"/>
                      <w:lang w:eastAsia="zh-CN"/>
                      <w14:textFill>
                        <w14:solidFill>
                          <w14:schemeClr w14:val="tx1"/>
                        </w14:solidFill>
                      </w14:textFill>
                    </w:rPr>
                  </w:pPr>
                  <w:r>
                    <w:rPr>
                      <w:rFonts w:hint="default" w:ascii="Times New Roman" w:hAnsi="Times New Roman" w:cs="Times New Roman"/>
                      <w:bCs/>
                      <w:color w:val="000000" w:themeColor="text1"/>
                      <w:w w:val="99"/>
                      <w:sz w:val="18"/>
                      <w:szCs w:val="18"/>
                      <w:highlight w:val="none"/>
                      <w:lang w:eastAsia="zh-CN"/>
                      <w14:textFill>
                        <w14:solidFill>
                          <w14:schemeClr w14:val="tx1"/>
                        </w14:solidFill>
                      </w14:textFill>
                    </w:rPr>
                    <w:t>①</w:t>
                  </w:r>
                </w:p>
              </w:tc>
              <w:tc>
                <w:tcPr>
                  <w:tcW w:w="573" w:type="pct"/>
                  <w:tcBorders>
                    <w:tl2br w:val="nil"/>
                    <w:tr2bl w:val="nil"/>
                  </w:tcBorders>
                  <w:vAlign w:val="center"/>
                </w:tcPr>
                <w:p>
                  <w:pPr>
                    <w:pStyle w:val="69"/>
                    <w:jc w:val="center"/>
                    <w:rPr>
                      <w:rFonts w:hint="default" w:ascii="Times New Roman" w:hAnsi="Times New Roman" w:cs="Times New Roman"/>
                      <w:bCs/>
                      <w:color w:val="000000" w:themeColor="text1"/>
                      <w:sz w:val="18"/>
                      <w:szCs w:val="18"/>
                      <w:highlight w:val="none"/>
                      <w:lang w:eastAsia="zh-CN"/>
                      <w14:textFill>
                        <w14:solidFill>
                          <w14:schemeClr w14:val="tx1"/>
                        </w14:solidFill>
                      </w14:textFill>
                    </w:rPr>
                  </w:pPr>
                  <w:r>
                    <w:rPr>
                      <w:rFonts w:hint="default" w:ascii="Times New Roman" w:hAnsi="Times New Roman" w:cs="Times New Roman"/>
                      <w:bCs/>
                      <w:color w:val="000000" w:themeColor="text1"/>
                      <w:w w:val="99"/>
                      <w:sz w:val="18"/>
                      <w:szCs w:val="18"/>
                      <w:highlight w:val="none"/>
                      <w:lang w:eastAsia="zh-CN"/>
                      <w14:textFill>
                        <w14:solidFill>
                          <w14:schemeClr w14:val="tx1"/>
                        </w14:solidFill>
                      </w14:textFill>
                    </w:rPr>
                    <w:t>②</w:t>
                  </w:r>
                </w:p>
              </w:tc>
              <w:tc>
                <w:tcPr>
                  <w:tcW w:w="577" w:type="pct"/>
                  <w:tcBorders>
                    <w:tl2br w:val="nil"/>
                    <w:tr2bl w:val="nil"/>
                  </w:tcBorders>
                  <w:vAlign w:val="center"/>
                </w:tcPr>
                <w:p>
                  <w:pPr>
                    <w:pStyle w:val="69"/>
                    <w:jc w:val="center"/>
                    <w:rPr>
                      <w:rFonts w:hint="default" w:ascii="Times New Roman" w:hAnsi="Times New Roman" w:cs="Times New Roman"/>
                      <w:bCs/>
                      <w:color w:val="000000" w:themeColor="text1"/>
                      <w:sz w:val="18"/>
                      <w:szCs w:val="18"/>
                      <w:highlight w:val="none"/>
                      <w:lang w:eastAsia="zh-CN"/>
                      <w14:textFill>
                        <w14:solidFill>
                          <w14:schemeClr w14:val="tx1"/>
                        </w14:solidFill>
                      </w14:textFill>
                    </w:rPr>
                  </w:pPr>
                  <w:r>
                    <w:rPr>
                      <w:rFonts w:hint="default" w:ascii="Times New Roman" w:hAnsi="Times New Roman" w:cs="Times New Roman"/>
                      <w:bCs/>
                      <w:color w:val="000000" w:themeColor="text1"/>
                      <w:w w:val="99"/>
                      <w:sz w:val="18"/>
                      <w:szCs w:val="18"/>
                      <w:highlight w:val="none"/>
                      <w:lang w:eastAsia="zh-CN"/>
                      <w14:textFill>
                        <w14:solidFill>
                          <w14:schemeClr w14:val="tx1"/>
                        </w14:solidFill>
                      </w14:textFill>
                    </w:rPr>
                    <w:t>③</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1" w:hRule="atLeast"/>
                <w:jc w:val="center"/>
              </w:trPr>
              <w:tc>
                <w:tcPr>
                  <w:tcW w:w="817" w:type="pct"/>
                  <w:vMerge w:val="restart"/>
                  <w:tcBorders>
                    <w:tl2br w:val="nil"/>
                    <w:tr2bl w:val="nil"/>
                  </w:tcBorders>
                  <w:vAlign w:val="center"/>
                </w:tcPr>
                <w:p>
                  <w:pPr>
                    <w:pStyle w:val="69"/>
                    <w:jc w:val="center"/>
                    <w:rPr>
                      <w:rFonts w:hint="default"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kern w:val="2"/>
                      <w:sz w:val="18"/>
                      <w:szCs w:val="18"/>
                      <w:highlight w:val="none"/>
                      <w:lang w:eastAsia="zh-CN"/>
                      <w14:textFill>
                        <w14:solidFill>
                          <w14:schemeClr w14:val="tx1"/>
                        </w14:solidFill>
                      </w14:textFill>
                    </w:rPr>
                    <w:t>有组织废气排放口</w:t>
                  </w:r>
                  <w:r>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t>FQ01</w:t>
                  </w:r>
                </w:p>
              </w:tc>
              <w:tc>
                <w:tcPr>
                  <w:tcW w:w="658" w:type="pct"/>
                  <w:vMerge w:val="restart"/>
                  <w:tcBorders>
                    <w:tl2br w:val="nil"/>
                    <w:tr2bl w:val="nil"/>
                  </w:tcBorders>
                  <w:vAlign w:val="center"/>
                </w:tcPr>
                <w:p>
                  <w:pPr>
                    <w:pStyle w:val="69"/>
                    <w:jc w:val="center"/>
                    <w:rPr>
                      <w:rFonts w:hint="default" w:ascii="Times New Roman" w:hAnsi="Times New Roman" w:cs="Times New Roman"/>
                      <w:color w:val="000000" w:themeColor="text1"/>
                      <w:kern w:val="2"/>
                      <w:sz w:val="18"/>
                      <w:szCs w:val="18"/>
                      <w:highlight w:val="none"/>
                      <w:lang w:eastAsia="zh-CN"/>
                      <w14:textFill>
                        <w14:solidFill>
                          <w14:schemeClr w14:val="tx1"/>
                        </w14:solidFill>
                      </w14:textFill>
                    </w:rPr>
                  </w:pPr>
                  <w:r>
                    <w:rPr>
                      <w:rFonts w:hint="default" w:ascii="Times New Roman" w:hAnsi="Times New Roman" w:cs="Times New Roman"/>
                      <w:color w:val="000000" w:themeColor="text1"/>
                      <w:kern w:val="2"/>
                      <w:sz w:val="18"/>
                      <w:szCs w:val="18"/>
                      <w:highlight w:val="none"/>
                      <w:lang w:eastAsia="zh-CN"/>
                      <w14:textFill>
                        <w14:solidFill>
                          <w14:schemeClr w14:val="tx1"/>
                        </w14:solidFill>
                      </w14:textFill>
                    </w:rPr>
                    <w:t>202</w:t>
                  </w:r>
                  <w:r>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t>4</w:t>
                  </w:r>
                  <w:r>
                    <w:rPr>
                      <w:rFonts w:hint="default" w:ascii="Times New Roman" w:hAnsi="Times New Roman" w:cs="Times New Roman"/>
                      <w:color w:val="000000" w:themeColor="text1"/>
                      <w:kern w:val="2"/>
                      <w:sz w:val="18"/>
                      <w:szCs w:val="18"/>
                      <w:highlight w:val="none"/>
                      <w:lang w:eastAsia="zh-CN"/>
                      <w14:textFill>
                        <w14:solidFill>
                          <w14:schemeClr w14:val="tx1"/>
                        </w14:solidFill>
                      </w14:textFill>
                    </w:rPr>
                    <w:t>年</w:t>
                  </w:r>
                </w:p>
                <w:p>
                  <w:pPr>
                    <w:pStyle w:val="69"/>
                    <w:jc w:val="center"/>
                    <w:rPr>
                      <w:rFonts w:hint="default" w:ascii="Times New Roman" w:hAnsi="Times New Roman" w:cs="Times New Roman"/>
                      <w:color w:val="000000" w:themeColor="text1"/>
                      <w:kern w:val="2"/>
                      <w:sz w:val="18"/>
                      <w:szCs w:val="18"/>
                      <w:highlight w:val="none"/>
                      <w:lang w:eastAsia="zh-CN"/>
                      <w14:textFill>
                        <w14:solidFill>
                          <w14:schemeClr w14:val="tx1"/>
                        </w14:solidFill>
                      </w14:textFill>
                    </w:rPr>
                  </w:pPr>
                  <w:r>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t>5</w:t>
                  </w:r>
                  <w:r>
                    <w:rPr>
                      <w:rFonts w:hint="default" w:ascii="Times New Roman" w:hAnsi="Times New Roman" w:cs="Times New Roman"/>
                      <w:color w:val="000000" w:themeColor="text1"/>
                      <w:kern w:val="2"/>
                      <w:sz w:val="18"/>
                      <w:szCs w:val="18"/>
                      <w:highlight w:val="none"/>
                      <w:lang w:eastAsia="zh-CN"/>
                      <w14:textFill>
                        <w14:solidFill>
                          <w14:schemeClr w14:val="tx1"/>
                        </w14:solidFill>
                      </w14:textFill>
                    </w:rPr>
                    <w:t>月</w:t>
                  </w:r>
                  <w:r>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t>8</w:t>
                  </w:r>
                  <w:r>
                    <w:rPr>
                      <w:rFonts w:hint="default" w:ascii="Times New Roman" w:hAnsi="Times New Roman" w:cs="Times New Roman"/>
                      <w:color w:val="000000" w:themeColor="text1"/>
                      <w:kern w:val="2"/>
                      <w:sz w:val="18"/>
                      <w:szCs w:val="18"/>
                      <w:highlight w:val="none"/>
                      <w:lang w:eastAsia="zh-CN"/>
                      <w14:textFill>
                        <w14:solidFill>
                          <w14:schemeClr w14:val="tx1"/>
                        </w14:solidFill>
                      </w14:textFill>
                    </w:rPr>
                    <w:t>日</w:t>
                  </w:r>
                </w:p>
              </w:tc>
              <w:tc>
                <w:tcPr>
                  <w:tcW w:w="489" w:type="pct"/>
                  <w:vMerge w:val="restart"/>
                  <w:tcBorders>
                    <w:tl2br w:val="nil"/>
                    <w:tr2bl w:val="nil"/>
                  </w:tcBorders>
                  <w:vAlign w:val="center"/>
                </w:tcPr>
                <w:p>
                  <w:pPr>
                    <w:pStyle w:val="69"/>
                    <w:jc w:val="center"/>
                    <w:rPr>
                      <w:rFonts w:hint="default" w:ascii="Times New Roman" w:hAnsi="Times New Roman" w:eastAsia="宋体" w:cs="Times New Roman"/>
                      <w:color w:val="000000" w:themeColor="text1"/>
                      <w:spacing w:val="-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spacing w:val="-1"/>
                      <w:kern w:val="0"/>
                      <w:sz w:val="18"/>
                      <w:szCs w:val="18"/>
                      <w:highlight w:val="none"/>
                      <w:lang w:val="en-US" w:eastAsia="zh-CN" w:bidi="ar-SA"/>
                      <w14:textFill>
                        <w14:solidFill>
                          <w14:schemeClr w14:val="tx1"/>
                        </w14:solidFill>
                      </w14:textFill>
                    </w:rPr>
                    <w:t>烟气参数</w:t>
                  </w:r>
                </w:p>
              </w:tc>
              <w:tc>
                <w:tcPr>
                  <w:tcW w:w="902" w:type="pct"/>
                  <w:tcBorders>
                    <w:tl2br w:val="nil"/>
                    <w:tr2bl w:val="nil"/>
                  </w:tcBorders>
                  <w:vAlign w:val="center"/>
                </w:tcPr>
                <w:p>
                  <w:pPr>
                    <w:pStyle w:val="69"/>
                    <w:jc w:val="cente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pP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烟温（℃）</w:t>
                  </w:r>
                </w:p>
              </w:tc>
              <w:tc>
                <w:tcPr>
                  <w:tcW w:w="578" w:type="pct"/>
                  <w:tcBorders>
                    <w:tl2br w:val="nil"/>
                    <w:tr2bl w:val="nil"/>
                  </w:tcBorders>
                  <w:vAlign w:val="center"/>
                </w:tcPr>
                <w:p>
                  <w:pPr>
                    <w:pStyle w:val="69"/>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24</w:t>
                  </w:r>
                </w:p>
              </w:tc>
              <w:tc>
                <w:tcPr>
                  <w:tcW w:w="573" w:type="pct"/>
                  <w:tcBorders>
                    <w:tl2br w:val="nil"/>
                    <w:tr2bl w:val="nil"/>
                  </w:tcBorders>
                  <w:vAlign w:val="center"/>
                </w:tcPr>
                <w:p>
                  <w:pPr>
                    <w:pStyle w:val="69"/>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24</w:t>
                  </w:r>
                </w:p>
              </w:tc>
              <w:tc>
                <w:tcPr>
                  <w:tcW w:w="577" w:type="pct"/>
                  <w:tcBorders>
                    <w:tl2br w:val="nil"/>
                    <w:tr2bl w:val="nil"/>
                  </w:tcBorders>
                  <w:vAlign w:val="center"/>
                </w:tcPr>
                <w:p>
                  <w:pPr>
                    <w:pStyle w:val="69"/>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24</w:t>
                  </w:r>
                </w:p>
              </w:tc>
              <w:tc>
                <w:tcPr>
                  <w:tcW w:w="401" w:type="pct"/>
                  <w:vMerge w:val="restart"/>
                  <w:tcBorders>
                    <w:tl2br w:val="nil"/>
                    <w:tr2bl w:val="nil"/>
                  </w:tcBorders>
                  <w:vAlign w:val="center"/>
                </w:tcPr>
                <w:p>
                  <w:pPr>
                    <w:pStyle w:val="69"/>
                    <w:jc w:val="center"/>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70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817" w:type="pct"/>
                  <w:vMerge w:val="continue"/>
                  <w:tcBorders>
                    <w:tl2br w:val="nil"/>
                    <w:tr2bl w:val="nil"/>
                  </w:tcBorders>
                  <w:vAlign w:val="center"/>
                </w:tcPr>
                <w:p>
                  <w:pPr>
                    <w:pStyle w:val="69"/>
                    <w:jc w:val="center"/>
                    <w:rPr>
                      <w:rFonts w:hint="default" w:ascii="Times New Roman" w:hAnsi="Times New Roman" w:cs="Times New Roman"/>
                      <w:color w:val="000000" w:themeColor="text1"/>
                      <w:kern w:val="2"/>
                      <w:sz w:val="18"/>
                      <w:szCs w:val="18"/>
                      <w:highlight w:val="none"/>
                      <w:lang w:eastAsia="zh-CN"/>
                      <w14:textFill>
                        <w14:solidFill>
                          <w14:schemeClr w14:val="tx1"/>
                        </w14:solidFill>
                      </w14:textFill>
                    </w:rPr>
                  </w:pPr>
                </w:p>
              </w:tc>
              <w:tc>
                <w:tcPr>
                  <w:tcW w:w="658" w:type="pct"/>
                  <w:vMerge w:val="continue"/>
                  <w:tcBorders>
                    <w:tl2br w:val="nil"/>
                    <w:tr2bl w:val="nil"/>
                  </w:tcBorders>
                  <w:vAlign w:val="center"/>
                </w:tcPr>
                <w:p>
                  <w:pPr>
                    <w:pStyle w:val="69"/>
                    <w:jc w:val="center"/>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p>
              </w:tc>
              <w:tc>
                <w:tcPr>
                  <w:tcW w:w="489" w:type="pct"/>
                  <w:vMerge w:val="continue"/>
                  <w:tcBorders>
                    <w:tl2br w:val="nil"/>
                    <w:tr2bl w:val="nil"/>
                  </w:tcBorders>
                  <w:vAlign w:val="center"/>
                </w:tcPr>
                <w:p>
                  <w:pPr>
                    <w:pStyle w:val="69"/>
                    <w:jc w:val="center"/>
                    <w:rPr>
                      <w:rFonts w:hint="default" w:ascii="Times New Roman" w:hAnsi="Times New Roman" w:eastAsia="宋体" w:cs="Times New Roman"/>
                      <w:color w:val="000000" w:themeColor="text1"/>
                      <w:spacing w:val="-1"/>
                      <w:kern w:val="0"/>
                      <w:sz w:val="18"/>
                      <w:szCs w:val="18"/>
                      <w:highlight w:val="none"/>
                      <w:lang w:val="en-US" w:eastAsia="zh-CN" w:bidi="ar-SA"/>
                      <w14:textFill>
                        <w14:solidFill>
                          <w14:schemeClr w14:val="tx1"/>
                        </w14:solidFill>
                      </w14:textFill>
                    </w:rPr>
                  </w:pPr>
                </w:p>
              </w:tc>
              <w:tc>
                <w:tcPr>
                  <w:tcW w:w="902" w:type="pct"/>
                  <w:tcBorders>
                    <w:tl2br w:val="nil"/>
                    <w:tr2bl w:val="nil"/>
                  </w:tcBorders>
                  <w:vAlign w:val="center"/>
                </w:tcPr>
                <w:p>
                  <w:pPr>
                    <w:pStyle w:val="69"/>
                    <w:jc w:val="center"/>
                    <w:rPr>
                      <w:rFonts w:hint="eastAsia" w:ascii="Times New Roman" w:hAnsi="Times New Roman" w:cs="Times New Roman"/>
                      <w:color w:val="000000" w:themeColor="text1"/>
                      <w:spacing w:val="-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spacing w:val="-1"/>
                      <w:kern w:val="0"/>
                      <w:sz w:val="18"/>
                      <w:szCs w:val="18"/>
                      <w:highlight w:val="none"/>
                      <w:lang w:val="en-US" w:eastAsia="zh-CN" w:bidi="ar-SA"/>
                      <w14:textFill>
                        <w14:solidFill>
                          <w14:schemeClr w14:val="tx1"/>
                        </w14:solidFill>
                      </w14:textFill>
                    </w:rPr>
                    <w:t>流速（m/s）</w:t>
                  </w:r>
                </w:p>
              </w:tc>
              <w:tc>
                <w:tcPr>
                  <w:tcW w:w="578" w:type="pct"/>
                  <w:tcBorders>
                    <w:tl2br w:val="nil"/>
                    <w:tr2bl w:val="nil"/>
                  </w:tcBorders>
                  <w:vAlign w:val="center"/>
                </w:tcPr>
                <w:p>
                  <w:pPr>
                    <w:pStyle w:val="69"/>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3.0</w:t>
                  </w:r>
                </w:p>
              </w:tc>
              <w:tc>
                <w:tcPr>
                  <w:tcW w:w="573" w:type="pct"/>
                  <w:tcBorders>
                    <w:tl2br w:val="nil"/>
                    <w:tr2bl w:val="nil"/>
                  </w:tcBorders>
                  <w:vAlign w:val="center"/>
                </w:tcPr>
                <w:p>
                  <w:pPr>
                    <w:pStyle w:val="69"/>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3.0</w:t>
                  </w:r>
                </w:p>
              </w:tc>
              <w:tc>
                <w:tcPr>
                  <w:tcW w:w="577" w:type="pct"/>
                  <w:tcBorders>
                    <w:tl2br w:val="nil"/>
                    <w:tr2bl w:val="nil"/>
                  </w:tcBorders>
                  <w:vAlign w:val="center"/>
                </w:tcPr>
                <w:p>
                  <w:pPr>
                    <w:pStyle w:val="69"/>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3.0</w:t>
                  </w:r>
                </w:p>
              </w:tc>
              <w:tc>
                <w:tcPr>
                  <w:tcW w:w="401" w:type="pct"/>
                  <w:vMerge w:val="continue"/>
                  <w:tcBorders>
                    <w:tl2br w:val="nil"/>
                    <w:tr2bl w:val="nil"/>
                  </w:tcBorders>
                  <w:vAlign w:val="center"/>
                </w:tcPr>
                <w:p>
                  <w:pPr>
                    <w:pStyle w:val="69"/>
                    <w:jc w:val="center"/>
                    <w:rPr>
                      <w:rFonts w:hint="eastAsia" w:ascii="Times New Roman" w:hAnsi="Times New Roman" w:cs="Times New Roman"/>
                      <w:color w:val="000000" w:themeColor="text1"/>
                      <w:sz w:val="18"/>
                      <w:szCs w:val="18"/>
                      <w:highlight w:val="no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817" w:type="pct"/>
                  <w:vMerge w:val="continue"/>
                  <w:tcBorders>
                    <w:tl2br w:val="nil"/>
                    <w:tr2bl w:val="nil"/>
                  </w:tcBorders>
                  <w:vAlign w:val="center"/>
                </w:tcPr>
                <w:p>
                  <w:pPr>
                    <w:pStyle w:val="69"/>
                    <w:jc w:val="center"/>
                    <w:rPr>
                      <w:rFonts w:hint="default" w:ascii="Times New Roman" w:hAnsi="Times New Roman" w:cs="Times New Roman"/>
                      <w:color w:val="000000" w:themeColor="text1"/>
                      <w:kern w:val="2"/>
                      <w:sz w:val="18"/>
                      <w:szCs w:val="18"/>
                      <w:highlight w:val="none"/>
                      <w:lang w:eastAsia="zh-CN"/>
                      <w14:textFill>
                        <w14:solidFill>
                          <w14:schemeClr w14:val="tx1"/>
                        </w14:solidFill>
                      </w14:textFill>
                    </w:rPr>
                  </w:pPr>
                </w:p>
              </w:tc>
              <w:tc>
                <w:tcPr>
                  <w:tcW w:w="658" w:type="pct"/>
                  <w:vMerge w:val="continue"/>
                  <w:tcBorders>
                    <w:tl2br w:val="nil"/>
                    <w:tr2bl w:val="nil"/>
                  </w:tcBorders>
                  <w:vAlign w:val="center"/>
                </w:tcPr>
                <w:p>
                  <w:pPr>
                    <w:pStyle w:val="69"/>
                    <w:jc w:val="center"/>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p>
              </w:tc>
              <w:tc>
                <w:tcPr>
                  <w:tcW w:w="489" w:type="pct"/>
                  <w:vMerge w:val="continue"/>
                  <w:tcBorders>
                    <w:tl2br w:val="nil"/>
                    <w:tr2bl w:val="nil"/>
                  </w:tcBorders>
                  <w:vAlign w:val="center"/>
                </w:tcPr>
                <w:p>
                  <w:pPr>
                    <w:pStyle w:val="69"/>
                    <w:jc w:val="center"/>
                    <w:rPr>
                      <w:rFonts w:hint="default" w:ascii="Times New Roman" w:hAnsi="Times New Roman" w:eastAsia="宋体" w:cs="Times New Roman"/>
                      <w:color w:val="000000" w:themeColor="text1"/>
                      <w:spacing w:val="-1"/>
                      <w:kern w:val="0"/>
                      <w:sz w:val="18"/>
                      <w:szCs w:val="18"/>
                      <w:highlight w:val="none"/>
                      <w:lang w:val="en-US" w:eastAsia="zh-CN" w:bidi="ar-SA"/>
                      <w14:textFill>
                        <w14:solidFill>
                          <w14:schemeClr w14:val="tx1"/>
                        </w14:solidFill>
                      </w14:textFill>
                    </w:rPr>
                  </w:pPr>
                </w:p>
              </w:tc>
              <w:tc>
                <w:tcPr>
                  <w:tcW w:w="902" w:type="pct"/>
                  <w:tcBorders>
                    <w:tl2br w:val="nil"/>
                    <w:tr2bl w:val="nil"/>
                  </w:tcBorders>
                  <w:vAlign w:val="center"/>
                </w:tcPr>
                <w:p>
                  <w:pPr>
                    <w:pStyle w:val="69"/>
                    <w:jc w:val="cente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pP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含湿量（</w:t>
                  </w:r>
                  <w:r>
                    <w:rPr>
                      <w:rFonts w:hint="default" w:ascii="Times New Roman" w:hAnsi="Times New Roman" w:cs="Times New Roman"/>
                      <w:color w:val="000000" w:themeColor="text1"/>
                      <w:spacing w:val="-1"/>
                      <w:sz w:val="18"/>
                      <w:szCs w:val="18"/>
                      <w:highlight w:val="none"/>
                      <w:lang w:val="en-US" w:eastAsia="zh-CN"/>
                      <w14:textFill>
                        <w14:solidFill>
                          <w14:schemeClr w14:val="tx1"/>
                        </w14:solidFill>
                      </w14:textFill>
                    </w:rPr>
                    <w:t>%</w:t>
                  </w: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w:t>
                  </w:r>
                </w:p>
              </w:tc>
              <w:tc>
                <w:tcPr>
                  <w:tcW w:w="578" w:type="pct"/>
                  <w:tcBorders>
                    <w:tl2br w:val="nil"/>
                    <w:tr2bl w:val="nil"/>
                  </w:tcBorders>
                  <w:vAlign w:val="center"/>
                </w:tcPr>
                <w:p>
                  <w:pPr>
                    <w:pStyle w:val="69"/>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4.5</w:t>
                  </w:r>
                </w:p>
              </w:tc>
              <w:tc>
                <w:tcPr>
                  <w:tcW w:w="573" w:type="pct"/>
                  <w:tcBorders>
                    <w:tl2br w:val="nil"/>
                    <w:tr2bl w:val="nil"/>
                  </w:tcBorders>
                  <w:vAlign w:val="center"/>
                </w:tcPr>
                <w:p>
                  <w:pPr>
                    <w:pStyle w:val="69"/>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4.5</w:t>
                  </w:r>
                </w:p>
              </w:tc>
              <w:tc>
                <w:tcPr>
                  <w:tcW w:w="577" w:type="pct"/>
                  <w:tcBorders>
                    <w:tl2br w:val="nil"/>
                    <w:tr2bl w:val="nil"/>
                  </w:tcBorders>
                  <w:vAlign w:val="center"/>
                </w:tcPr>
                <w:p>
                  <w:pPr>
                    <w:pStyle w:val="69"/>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4.5</w:t>
                  </w:r>
                </w:p>
              </w:tc>
              <w:tc>
                <w:tcPr>
                  <w:tcW w:w="401" w:type="pct"/>
                  <w:vMerge w:val="continue"/>
                  <w:tcBorders>
                    <w:tl2br w:val="nil"/>
                    <w:tr2bl w:val="nil"/>
                  </w:tcBorders>
                  <w:vAlign w:val="center"/>
                </w:tcPr>
                <w:p>
                  <w:pPr>
                    <w:pStyle w:val="69"/>
                    <w:jc w:val="center"/>
                    <w:rPr>
                      <w:rFonts w:hint="eastAsia" w:ascii="Times New Roman" w:hAnsi="Times New Roman" w:cs="Times New Roman"/>
                      <w:color w:val="000000" w:themeColor="text1"/>
                      <w:sz w:val="18"/>
                      <w:szCs w:val="18"/>
                      <w:highlight w:val="no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817" w:type="pct"/>
                  <w:vMerge w:val="continue"/>
                  <w:tcBorders>
                    <w:tl2br w:val="nil"/>
                    <w:tr2bl w:val="nil"/>
                  </w:tcBorders>
                  <w:vAlign w:val="center"/>
                </w:tcPr>
                <w:p>
                  <w:pPr>
                    <w:pStyle w:val="69"/>
                    <w:jc w:val="center"/>
                    <w:rPr>
                      <w:rFonts w:hint="default" w:ascii="Times New Roman" w:hAnsi="Times New Roman" w:cs="Times New Roman"/>
                      <w:color w:val="000000" w:themeColor="text1"/>
                      <w:kern w:val="2"/>
                      <w:sz w:val="18"/>
                      <w:szCs w:val="18"/>
                      <w:highlight w:val="none"/>
                      <w:lang w:eastAsia="zh-CN"/>
                      <w14:textFill>
                        <w14:solidFill>
                          <w14:schemeClr w14:val="tx1"/>
                        </w14:solidFill>
                      </w14:textFill>
                    </w:rPr>
                  </w:pPr>
                </w:p>
              </w:tc>
              <w:tc>
                <w:tcPr>
                  <w:tcW w:w="658" w:type="pct"/>
                  <w:vMerge w:val="continue"/>
                  <w:tcBorders>
                    <w:tl2br w:val="nil"/>
                    <w:tr2bl w:val="nil"/>
                  </w:tcBorders>
                  <w:vAlign w:val="center"/>
                </w:tcPr>
                <w:p>
                  <w:pPr>
                    <w:pStyle w:val="69"/>
                    <w:jc w:val="center"/>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p>
              </w:tc>
              <w:tc>
                <w:tcPr>
                  <w:tcW w:w="489" w:type="pct"/>
                  <w:vMerge w:val="continue"/>
                  <w:tcBorders>
                    <w:tl2br w:val="nil"/>
                    <w:tr2bl w:val="nil"/>
                  </w:tcBorders>
                  <w:vAlign w:val="center"/>
                </w:tcPr>
                <w:p>
                  <w:pPr>
                    <w:pStyle w:val="69"/>
                    <w:jc w:val="center"/>
                    <w:rPr>
                      <w:rFonts w:hint="default" w:ascii="Times New Roman" w:hAnsi="Times New Roman" w:eastAsia="宋体" w:cs="Times New Roman"/>
                      <w:color w:val="000000" w:themeColor="text1"/>
                      <w:spacing w:val="-1"/>
                      <w:kern w:val="0"/>
                      <w:sz w:val="18"/>
                      <w:szCs w:val="18"/>
                      <w:highlight w:val="none"/>
                      <w:lang w:val="en-US" w:eastAsia="zh-CN" w:bidi="ar-SA"/>
                      <w14:textFill>
                        <w14:solidFill>
                          <w14:schemeClr w14:val="tx1"/>
                        </w14:solidFill>
                      </w14:textFill>
                    </w:rPr>
                  </w:pPr>
                </w:p>
              </w:tc>
              <w:tc>
                <w:tcPr>
                  <w:tcW w:w="902" w:type="pct"/>
                  <w:tcBorders>
                    <w:tl2br w:val="nil"/>
                    <w:tr2bl w:val="nil"/>
                  </w:tcBorders>
                  <w:vAlign w:val="center"/>
                </w:tcPr>
                <w:p>
                  <w:pPr>
                    <w:pStyle w:val="69"/>
                    <w:jc w:val="cente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pP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烟气流量（m</w:t>
                  </w:r>
                  <w:r>
                    <w:rPr>
                      <w:rFonts w:hint="default" w:ascii="Times New Roman" w:hAnsi="Times New Roman" w:cs="Times New Roman"/>
                      <w:color w:val="000000" w:themeColor="text1"/>
                      <w:spacing w:val="-1"/>
                      <w:sz w:val="18"/>
                      <w:szCs w:val="18"/>
                      <w:highlight w:val="none"/>
                      <w:vertAlign w:val="superscript"/>
                      <w:lang w:eastAsia="zh-CN"/>
                      <w14:textFill>
                        <w14:solidFill>
                          <w14:schemeClr w14:val="tx1"/>
                        </w14:solidFill>
                      </w14:textFill>
                    </w:rPr>
                    <w:t>3</w:t>
                  </w: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/h）</w:t>
                  </w:r>
                </w:p>
              </w:tc>
              <w:tc>
                <w:tcPr>
                  <w:tcW w:w="578" w:type="pct"/>
                  <w:tcBorders>
                    <w:tl2br w:val="nil"/>
                    <w:tr2bl w:val="nil"/>
                  </w:tcBorders>
                  <w:vAlign w:val="center"/>
                </w:tcPr>
                <w:p>
                  <w:pPr>
                    <w:pStyle w:val="69"/>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1.10</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eastAsia" w:ascii="Times New Roman" w:hAnsi="Times New Roman" w:cs="Times New Roman"/>
                      <w:color w:val="000000" w:themeColor="text1"/>
                      <w:sz w:val="18"/>
                      <w:szCs w:val="18"/>
                      <w:highlight w:val="none"/>
                      <w:vertAlign w:val="superscript"/>
                      <w:lang w:val="en-US" w:eastAsia="zh-CN"/>
                      <w14:textFill>
                        <w14:solidFill>
                          <w14:schemeClr w14:val="tx1"/>
                        </w14:solidFill>
                      </w14:textFill>
                    </w:rPr>
                    <w:t>4</w:t>
                  </w:r>
                </w:p>
              </w:tc>
              <w:tc>
                <w:tcPr>
                  <w:tcW w:w="573" w:type="pct"/>
                  <w:tcBorders>
                    <w:tl2br w:val="nil"/>
                    <w:tr2bl w:val="nil"/>
                  </w:tcBorders>
                  <w:vAlign w:val="center"/>
                </w:tcPr>
                <w:p>
                  <w:pPr>
                    <w:pStyle w:val="69"/>
                    <w:jc w:val="center"/>
                    <w:rPr>
                      <w:rFonts w:hint="default" w:ascii="Times New Roman" w:hAnsi="Times New Roman" w:eastAsia="宋体" w:cs="Times New Roman"/>
                      <w:color w:val="000000" w:themeColor="text1"/>
                      <w:kern w:val="0"/>
                      <w:sz w:val="18"/>
                      <w:szCs w:val="18"/>
                      <w:highlight w:val="none"/>
                      <w:vertAlign w:val="superscript"/>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1.10</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eastAsia" w:ascii="Times New Roman" w:hAnsi="Times New Roman" w:cs="Times New Roman"/>
                      <w:color w:val="000000" w:themeColor="text1"/>
                      <w:sz w:val="18"/>
                      <w:szCs w:val="18"/>
                      <w:highlight w:val="none"/>
                      <w:vertAlign w:val="superscript"/>
                      <w:lang w:val="en-US" w:eastAsia="zh-CN"/>
                      <w14:textFill>
                        <w14:solidFill>
                          <w14:schemeClr w14:val="tx1"/>
                        </w14:solidFill>
                      </w14:textFill>
                    </w:rPr>
                    <w:t>4</w:t>
                  </w:r>
                </w:p>
              </w:tc>
              <w:tc>
                <w:tcPr>
                  <w:tcW w:w="577" w:type="pct"/>
                  <w:tcBorders>
                    <w:tl2br w:val="nil"/>
                    <w:tr2bl w:val="nil"/>
                  </w:tcBorders>
                  <w:vAlign w:val="center"/>
                </w:tcPr>
                <w:p>
                  <w:pPr>
                    <w:pStyle w:val="69"/>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1.10</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eastAsia" w:ascii="Times New Roman" w:hAnsi="Times New Roman" w:cs="Times New Roman"/>
                      <w:color w:val="000000" w:themeColor="text1"/>
                      <w:sz w:val="18"/>
                      <w:szCs w:val="18"/>
                      <w:highlight w:val="none"/>
                      <w:vertAlign w:val="superscript"/>
                      <w:lang w:val="en-US" w:eastAsia="zh-CN"/>
                      <w14:textFill>
                        <w14:solidFill>
                          <w14:schemeClr w14:val="tx1"/>
                        </w14:solidFill>
                      </w14:textFill>
                    </w:rPr>
                    <w:t>4</w:t>
                  </w:r>
                </w:p>
              </w:tc>
              <w:tc>
                <w:tcPr>
                  <w:tcW w:w="401" w:type="pct"/>
                  <w:vMerge w:val="continue"/>
                  <w:tcBorders>
                    <w:tl2br w:val="nil"/>
                    <w:tr2bl w:val="nil"/>
                  </w:tcBorders>
                  <w:vAlign w:val="center"/>
                </w:tcPr>
                <w:p>
                  <w:pPr>
                    <w:pStyle w:val="69"/>
                    <w:jc w:val="center"/>
                    <w:rPr>
                      <w:rFonts w:hint="eastAsia" w:ascii="Times New Roman" w:hAnsi="Times New Roman" w:cs="Times New Roman"/>
                      <w:color w:val="000000" w:themeColor="text1"/>
                      <w:sz w:val="18"/>
                      <w:szCs w:val="18"/>
                      <w:highlight w:val="no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817" w:type="pct"/>
                  <w:vMerge w:val="continue"/>
                  <w:tcBorders>
                    <w:tl2br w:val="nil"/>
                    <w:tr2bl w:val="nil"/>
                  </w:tcBorders>
                  <w:vAlign w:val="center"/>
                </w:tcPr>
                <w:p>
                  <w:pPr>
                    <w:pStyle w:val="69"/>
                    <w:jc w:val="center"/>
                    <w:rPr>
                      <w:rFonts w:hint="default" w:ascii="Times New Roman" w:hAnsi="Times New Roman" w:cs="Times New Roman"/>
                      <w:color w:val="000000" w:themeColor="text1"/>
                      <w:kern w:val="2"/>
                      <w:sz w:val="18"/>
                      <w:szCs w:val="18"/>
                      <w:highlight w:val="none"/>
                      <w:lang w:eastAsia="zh-CN"/>
                      <w14:textFill>
                        <w14:solidFill>
                          <w14:schemeClr w14:val="tx1"/>
                        </w14:solidFill>
                      </w14:textFill>
                    </w:rPr>
                  </w:pPr>
                </w:p>
              </w:tc>
              <w:tc>
                <w:tcPr>
                  <w:tcW w:w="658" w:type="pct"/>
                  <w:vMerge w:val="continue"/>
                  <w:tcBorders>
                    <w:tl2br w:val="nil"/>
                    <w:tr2bl w:val="nil"/>
                  </w:tcBorders>
                  <w:vAlign w:val="center"/>
                </w:tcPr>
                <w:p>
                  <w:pPr>
                    <w:pStyle w:val="69"/>
                    <w:jc w:val="center"/>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p>
              </w:tc>
              <w:tc>
                <w:tcPr>
                  <w:tcW w:w="489" w:type="pct"/>
                  <w:vMerge w:val="continue"/>
                  <w:tcBorders>
                    <w:tl2br w:val="nil"/>
                    <w:tr2bl w:val="nil"/>
                  </w:tcBorders>
                  <w:vAlign w:val="center"/>
                </w:tcPr>
                <w:p>
                  <w:pPr>
                    <w:pStyle w:val="69"/>
                    <w:jc w:val="center"/>
                    <w:rPr>
                      <w:rFonts w:hint="default" w:ascii="Times New Roman" w:hAnsi="Times New Roman" w:eastAsia="宋体" w:cs="Times New Roman"/>
                      <w:color w:val="000000" w:themeColor="text1"/>
                      <w:spacing w:val="-1"/>
                      <w:kern w:val="0"/>
                      <w:sz w:val="18"/>
                      <w:szCs w:val="18"/>
                      <w:highlight w:val="none"/>
                      <w:lang w:val="en-US" w:eastAsia="zh-CN" w:bidi="ar-SA"/>
                      <w14:textFill>
                        <w14:solidFill>
                          <w14:schemeClr w14:val="tx1"/>
                        </w14:solidFill>
                      </w14:textFill>
                    </w:rPr>
                  </w:pPr>
                </w:p>
              </w:tc>
              <w:tc>
                <w:tcPr>
                  <w:tcW w:w="902" w:type="pct"/>
                  <w:tcBorders>
                    <w:tl2br w:val="nil"/>
                    <w:tr2bl w:val="nil"/>
                  </w:tcBorders>
                  <w:vAlign w:val="center"/>
                </w:tcPr>
                <w:p>
                  <w:pPr>
                    <w:pStyle w:val="69"/>
                    <w:jc w:val="cente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pP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标干流量（</w:t>
                  </w:r>
                  <w:r>
                    <w:rPr>
                      <w:rFonts w:hint="default" w:ascii="Times New Roman" w:hAnsi="Times New Roman" w:cs="Times New Roman"/>
                      <w:color w:val="000000" w:themeColor="text1"/>
                      <w:spacing w:val="-1"/>
                      <w:sz w:val="18"/>
                      <w:szCs w:val="18"/>
                      <w:highlight w:val="none"/>
                      <w:lang w:val="en-US" w:eastAsia="zh-CN"/>
                      <w14:textFill>
                        <w14:solidFill>
                          <w14:schemeClr w14:val="tx1"/>
                        </w14:solidFill>
                      </w14:textFill>
                    </w:rPr>
                    <w:t>N</w:t>
                  </w: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m</w:t>
                  </w:r>
                  <w:r>
                    <w:rPr>
                      <w:rFonts w:hint="default" w:ascii="Times New Roman" w:hAnsi="Times New Roman" w:cs="Times New Roman"/>
                      <w:color w:val="000000" w:themeColor="text1"/>
                      <w:spacing w:val="-1"/>
                      <w:sz w:val="18"/>
                      <w:szCs w:val="18"/>
                      <w:highlight w:val="none"/>
                      <w:vertAlign w:val="superscript"/>
                      <w:lang w:eastAsia="zh-CN"/>
                      <w14:textFill>
                        <w14:solidFill>
                          <w14:schemeClr w14:val="tx1"/>
                        </w14:solidFill>
                      </w14:textFill>
                    </w:rPr>
                    <w:t>3</w:t>
                  </w: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/h）</w:t>
                  </w:r>
                </w:p>
              </w:tc>
              <w:tc>
                <w:tcPr>
                  <w:tcW w:w="578" w:type="pct"/>
                  <w:tcBorders>
                    <w:tl2br w:val="nil"/>
                    <w:tr2bl w:val="nil"/>
                  </w:tcBorders>
                  <w:vAlign w:val="center"/>
                </w:tcPr>
                <w:p>
                  <w:pPr>
                    <w:pStyle w:val="69"/>
                    <w:jc w:val="center"/>
                    <w:rPr>
                      <w:rFonts w:hint="default" w:ascii="Times New Roman" w:hAnsi="Times New Roman" w:eastAsia="宋体" w:cs="Times New Roman"/>
                      <w:color w:val="000000" w:themeColor="text1"/>
                      <w:kern w:val="0"/>
                      <w:sz w:val="18"/>
                      <w:szCs w:val="18"/>
                      <w:highlight w:val="none"/>
                      <w:vertAlign w:val="superscript"/>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9.62</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eastAsia" w:ascii="Times New Roman" w:hAnsi="Times New Roman" w:cs="Times New Roman"/>
                      <w:color w:val="000000" w:themeColor="text1"/>
                      <w:sz w:val="18"/>
                      <w:szCs w:val="18"/>
                      <w:highlight w:val="none"/>
                      <w:vertAlign w:val="superscript"/>
                      <w:lang w:val="en-US" w:eastAsia="zh-CN"/>
                      <w14:textFill>
                        <w14:solidFill>
                          <w14:schemeClr w14:val="tx1"/>
                        </w14:solidFill>
                      </w14:textFill>
                    </w:rPr>
                    <w:t>3</w:t>
                  </w:r>
                </w:p>
              </w:tc>
              <w:tc>
                <w:tcPr>
                  <w:tcW w:w="573" w:type="pct"/>
                  <w:tcBorders>
                    <w:tl2br w:val="nil"/>
                    <w:tr2bl w:val="nil"/>
                  </w:tcBorders>
                  <w:vAlign w:val="center"/>
                </w:tcPr>
                <w:p>
                  <w:pPr>
                    <w:pStyle w:val="69"/>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9.62</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eastAsia" w:ascii="Times New Roman" w:hAnsi="Times New Roman" w:cs="Times New Roman"/>
                      <w:color w:val="000000" w:themeColor="text1"/>
                      <w:sz w:val="18"/>
                      <w:szCs w:val="18"/>
                      <w:highlight w:val="none"/>
                      <w:vertAlign w:val="superscript"/>
                      <w:lang w:val="en-US" w:eastAsia="zh-CN"/>
                      <w14:textFill>
                        <w14:solidFill>
                          <w14:schemeClr w14:val="tx1"/>
                        </w14:solidFill>
                      </w14:textFill>
                    </w:rPr>
                    <w:t>3</w:t>
                  </w:r>
                </w:p>
              </w:tc>
              <w:tc>
                <w:tcPr>
                  <w:tcW w:w="577" w:type="pct"/>
                  <w:tcBorders>
                    <w:tl2br w:val="nil"/>
                    <w:tr2bl w:val="nil"/>
                  </w:tcBorders>
                  <w:vAlign w:val="center"/>
                </w:tcPr>
                <w:p>
                  <w:pPr>
                    <w:pStyle w:val="69"/>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9.62</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eastAsia" w:ascii="Times New Roman" w:hAnsi="Times New Roman" w:cs="Times New Roman"/>
                      <w:color w:val="000000" w:themeColor="text1"/>
                      <w:sz w:val="18"/>
                      <w:szCs w:val="18"/>
                      <w:highlight w:val="none"/>
                      <w:vertAlign w:val="superscript"/>
                      <w:lang w:val="en-US" w:eastAsia="zh-CN"/>
                      <w14:textFill>
                        <w14:solidFill>
                          <w14:schemeClr w14:val="tx1"/>
                        </w14:solidFill>
                      </w14:textFill>
                    </w:rPr>
                    <w:t>3</w:t>
                  </w:r>
                </w:p>
              </w:tc>
              <w:tc>
                <w:tcPr>
                  <w:tcW w:w="401" w:type="pct"/>
                  <w:vMerge w:val="continue"/>
                  <w:tcBorders>
                    <w:tl2br w:val="nil"/>
                    <w:tr2bl w:val="nil"/>
                  </w:tcBorders>
                  <w:vAlign w:val="center"/>
                </w:tcPr>
                <w:p>
                  <w:pPr>
                    <w:pStyle w:val="69"/>
                    <w:jc w:val="center"/>
                    <w:rPr>
                      <w:rFonts w:hint="eastAsia" w:ascii="Times New Roman" w:hAnsi="Times New Roman" w:cs="Times New Roman"/>
                      <w:color w:val="000000" w:themeColor="text1"/>
                      <w:sz w:val="18"/>
                      <w:szCs w:val="18"/>
                      <w:highlight w:val="no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6" w:hRule="atLeast"/>
                <w:jc w:val="center"/>
              </w:trPr>
              <w:tc>
                <w:tcPr>
                  <w:tcW w:w="817" w:type="pct"/>
                  <w:vMerge w:val="continue"/>
                  <w:tcBorders>
                    <w:tl2br w:val="nil"/>
                    <w:tr2bl w:val="nil"/>
                  </w:tcBorders>
                  <w:vAlign w:val="center"/>
                </w:tcPr>
                <w:p>
                  <w:pPr>
                    <w:pStyle w:val="69"/>
                    <w:jc w:val="center"/>
                    <w:rPr>
                      <w:rFonts w:hint="default" w:ascii="Times New Roman" w:hAnsi="Times New Roman" w:cs="Times New Roman"/>
                      <w:color w:val="000000" w:themeColor="text1"/>
                      <w:kern w:val="2"/>
                      <w:sz w:val="18"/>
                      <w:szCs w:val="18"/>
                      <w:highlight w:val="none"/>
                      <w:lang w:eastAsia="zh-CN"/>
                      <w14:textFill>
                        <w14:solidFill>
                          <w14:schemeClr w14:val="tx1"/>
                        </w14:solidFill>
                      </w14:textFill>
                    </w:rPr>
                  </w:pPr>
                </w:p>
              </w:tc>
              <w:tc>
                <w:tcPr>
                  <w:tcW w:w="658" w:type="pct"/>
                  <w:vMerge w:val="continue"/>
                  <w:tcBorders>
                    <w:tl2br w:val="nil"/>
                    <w:tr2bl w:val="nil"/>
                  </w:tcBorders>
                  <w:vAlign w:val="center"/>
                </w:tcPr>
                <w:p>
                  <w:pPr>
                    <w:pStyle w:val="69"/>
                    <w:jc w:val="center"/>
                    <w:rPr>
                      <w:rFonts w:hint="default" w:ascii="Times New Roman" w:hAnsi="Times New Roman" w:cs="Times New Roman"/>
                      <w:color w:val="000000" w:themeColor="text1"/>
                      <w:kern w:val="2"/>
                      <w:sz w:val="18"/>
                      <w:szCs w:val="18"/>
                      <w:highlight w:val="none"/>
                      <w:lang w:eastAsia="zh-CN"/>
                      <w14:textFill>
                        <w14:solidFill>
                          <w14:schemeClr w14:val="tx1"/>
                        </w14:solidFill>
                      </w14:textFill>
                    </w:rPr>
                  </w:pPr>
                </w:p>
              </w:tc>
              <w:tc>
                <w:tcPr>
                  <w:tcW w:w="489" w:type="pct"/>
                  <w:vMerge w:val="restart"/>
                  <w:tcBorders>
                    <w:tl2br w:val="nil"/>
                    <w:tr2bl w:val="nil"/>
                  </w:tcBorders>
                  <w:vAlign w:val="center"/>
                </w:tcPr>
                <w:p>
                  <w:pPr>
                    <w:jc w:val="center"/>
                    <w:rPr>
                      <w:rFonts w:hint="default" w:ascii="Times New Roman" w:hAnsi="Times New Roman" w:cs="Times New Roman"/>
                      <w:color w:val="000000" w:themeColor="text1"/>
                      <w:sz w:val="18"/>
                      <w:szCs w:val="18"/>
                      <w:highlight w:val="none"/>
                      <w:lang w:eastAsia="zh-CN"/>
                      <w14:textFill>
                        <w14:solidFill>
                          <w14:schemeClr w14:val="tx1"/>
                        </w14:solidFill>
                      </w14:textFill>
                    </w:rPr>
                  </w:pPr>
                  <w:r>
                    <w:rPr>
                      <w:rFonts w:hint="eastAsia" w:cs="Times New Roman"/>
                      <w:color w:val="000000" w:themeColor="text1"/>
                      <w:sz w:val="18"/>
                      <w:szCs w:val="18"/>
                      <w:highlight w:val="none"/>
                      <w:lang w:eastAsia="zh-CN"/>
                      <w14:textFill>
                        <w14:solidFill>
                          <w14:schemeClr w14:val="tx1"/>
                        </w14:solidFill>
                      </w14:textFill>
                    </w:rPr>
                    <w:t>氨</w:t>
                  </w:r>
                </w:p>
              </w:tc>
              <w:tc>
                <w:tcPr>
                  <w:tcW w:w="902" w:type="pct"/>
                  <w:tcBorders>
                    <w:tl2br w:val="nil"/>
                    <w:tr2bl w:val="nil"/>
                  </w:tcBorders>
                  <w:vAlign w:val="center"/>
                </w:tcPr>
                <w:p>
                  <w:pPr>
                    <w:pStyle w:val="69"/>
                    <w:jc w:val="cente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实测浓度</w:t>
                  </w:r>
                  <w:r>
                    <w:rPr>
                      <w:rFonts w:hint="default" w:ascii="Times New Roman" w:hAnsi="Times New Roman" w:cs="Times New Roman"/>
                      <w:color w:val="000000" w:themeColor="text1"/>
                      <w:sz w:val="18"/>
                      <w:szCs w:val="18"/>
                      <w:highlight w:val="none"/>
                      <w:lang w:eastAsia="zh-CN"/>
                      <w14:textFill>
                        <w14:solidFill>
                          <w14:schemeClr w14:val="tx1"/>
                        </w14:solidFill>
                      </w14:textFill>
                    </w:rPr>
                    <w:t>mg/m</w:t>
                  </w:r>
                  <w:r>
                    <w:rPr>
                      <w:rFonts w:hint="default" w:ascii="Times New Roman" w:hAnsi="Times New Roman" w:cs="Times New Roman"/>
                      <w:color w:val="000000" w:themeColor="text1"/>
                      <w:sz w:val="18"/>
                      <w:szCs w:val="18"/>
                      <w:highlight w:val="none"/>
                      <w:vertAlign w:val="superscript"/>
                      <w:lang w:eastAsia="zh-CN"/>
                      <w14:textFill>
                        <w14:solidFill>
                          <w14:schemeClr w14:val="tx1"/>
                        </w14:solidFill>
                      </w14:textFill>
                    </w:rPr>
                    <w:t>3</w:t>
                  </w:r>
                </w:p>
              </w:tc>
              <w:tc>
                <w:tcPr>
                  <w:tcW w:w="578" w:type="pct"/>
                  <w:tcBorders>
                    <w:tl2br w:val="nil"/>
                    <w:tr2bl w:val="nil"/>
                  </w:tcBorders>
                  <w:vAlign w:val="center"/>
                </w:tcPr>
                <w:p>
                  <w:pPr>
                    <w:pStyle w:val="69"/>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3.22</w:t>
                  </w:r>
                </w:p>
              </w:tc>
              <w:tc>
                <w:tcPr>
                  <w:tcW w:w="573" w:type="pct"/>
                  <w:tcBorders>
                    <w:tl2br w:val="nil"/>
                    <w:tr2bl w:val="nil"/>
                  </w:tcBorders>
                  <w:vAlign w:val="center"/>
                </w:tcPr>
                <w:p>
                  <w:pPr>
                    <w:pStyle w:val="69"/>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3.89</w:t>
                  </w:r>
                </w:p>
              </w:tc>
              <w:tc>
                <w:tcPr>
                  <w:tcW w:w="577" w:type="pct"/>
                  <w:tcBorders>
                    <w:tl2br w:val="nil"/>
                    <w:tr2bl w:val="nil"/>
                  </w:tcBorders>
                  <w:vAlign w:val="center"/>
                </w:tcPr>
                <w:p>
                  <w:pPr>
                    <w:pStyle w:val="69"/>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3.34</w:t>
                  </w:r>
                </w:p>
              </w:tc>
              <w:tc>
                <w:tcPr>
                  <w:tcW w:w="401" w:type="pct"/>
                  <w:vMerge w:val="continue"/>
                  <w:tcBorders>
                    <w:tl2br w:val="nil"/>
                    <w:tr2bl w:val="nil"/>
                  </w:tcBorders>
                  <w:vAlign w:val="center"/>
                </w:tcPr>
                <w:p>
                  <w:pPr>
                    <w:pStyle w:val="69"/>
                    <w:jc w:val="center"/>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817" w:type="pct"/>
                  <w:vMerge w:val="continue"/>
                  <w:tcBorders>
                    <w:tl2br w:val="nil"/>
                    <w:tr2bl w:val="nil"/>
                  </w:tcBorders>
                  <w:vAlign w:val="center"/>
                </w:tcPr>
                <w:p>
                  <w:pPr>
                    <w:ind w:firstLine="360" w:firstLineChars="200"/>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continue"/>
                  <w:tcBorders>
                    <w:tl2br w:val="nil"/>
                    <w:tr2bl w:val="nil"/>
                  </w:tcBorders>
                  <w:vAlign w:val="center"/>
                </w:tcPr>
                <w:p>
                  <w:pPr>
                    <w:ind w:firstLine="360" w:firstLineChars="200"/>
                    <w:rPr>
                      <w:rFonts w:hint="default" w:ascii="Times New Roman" w:hAnsi="Times New Roman" w:cs="Times New Roman"/>
                      <w:color w:val="000000" w:themeColor="text1"/>
                      <w:sz w:val="18"/>
                      <w:szCs w:val="18"/>
                      <w:highlight w:val="none"/>
                      <w14:textFill>
                        <w14:solidFill>
                          <w14:schemeClr w14:val="tx1"/>
                        </w14:solidFill>
                      </w14:textFill>
                    </w:rPr>
                  </w:pPr>
                </w:p>
              </w:tc>
              <w:tc>
                <w:tcPr>
                  <w:tcW w:w="489"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902" w:type="pct"/>
                  <w:tcBorders>
                    <w:tl2br w:val="nil"/>
                    <w:tr2bl w:val="nil"/>
                  </w:tcBorders>
                  <w:vAlign w:val="center"/>
                </w:tcPr>
                <w:p>
                  <w:pPr>
                    <w:pStyle w:val="69"/>
                    <w:jc w:val="cente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t>排放速率</w:t>
                  </w:r>
                  <w:r>
                    <w:rPr>
                      <w:rFonts w:hint="default" w:ascii="Times New Roman" w:hAnsi="Times New Roman" w:cs="Times New Roman"/>
                      <w:color w:val="000000" w:themeColor="text1"/>
                      <w:sz w:val="18"/>
                      <w:szCs w:val="18"/>
                      <w:highlight w:val="none"/>
                      <w:lang w:eastAsia="zh-CN"/>
                      <w14:textFill>
                        <w14:solidFill>
                          <w14:schemeClr w14:val="tx1"/>
                        </w14:solidFill>
                      </w14:textFill>
                    </w:rPr>
                    <w:t>kg/h</w:t>
                  </w:r>
                </w:p>
              </w:tc>
              <w:tc>
                <w:tcPr>
                  <w:tcW w:w="578" w:type="pct"/>
                  <w:tcBorders>
                    <w:tl2br w:val="nil"/>
                    <w:tr2bl w:val="nil"/>
                  </w:tcBorders>
                  <w:vAlign w:val="center"/>
                </w:tcPr>
                <w:p>
                  <w:pPr>
                    <w:pStyle w:val="69"/>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3.10</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eastAsia" w:ascii="Times New Roman" w:hAnsi="Times New Roman" w:cs="Times New Roman"/>
                      <w:color w:val="000000" w:themeColor="text1"/>
                      <w:sz w:val="18"/>
                      <w:szCs w:val="18"/>
                      <w:highlight w:val="none"/>
                      <w:vertAlign w:val="superscript"/>
                      <w:lang w:val="en-US" w:eastAsia="zh-CN"/>
                      <w14:textFill>
                        <w14:solidFill>
                          <w14:schemeClr w14:val="tx1"/>
                        </w14:solidFill>
                      </w14:textFill>
                    </w:rPr>
                    <w:t>-2</w:t>
                  </w:r>
                </w:p>
              </w:tc>
              <w:tc>
                <w:tcPr>
                  <w:tcW w:w="573" w:type="pct"/>
                  <w:tcBorders>
                    <w:tl2br w:val="nil"/>
                    <w:tr2bl w:val="nil"/>
                  </w:tcBorders>
                  <w:vAlign w:val="center"/>
                </w:tcPr>
                <w:p>
                  <w:pPr>
                    <w:jc w:val="cente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3.74</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eastAsia" w:ascii="Times New Roman" w:hAnsi="Times New Roman" w:cs="Times New Roman"/>
                      <w:color w:val="000000" w:themeColor="text1"/>
                      <w:sz w:val="18"/>
                      <w:szCs w:val="18"/>
                      <w:highlight w:val="none"/>
                      <w:vertAlign w:val="superscript"/>
                      <w:lang w:val="en-US" w:eastAsia="zh-CN"/>
                      <w14:textFill>
                        <w14:solidFill>
                          <w14:schemeClr w14:val="tx1"/>
                        </w14:solidFill>
                      </w14:textFill>
                    </w:rPr>
                    <w:t>-2</w:t>
                  </w:r>
                </w:p>
              </w:tc>
              <w:tc>
                <w:tcPr>
                  <w:tcW w:w="577" w:type="pct"/>
                  <w:tcBorders>
                    <w:tl2br w:val="nil"/>
                    <w:tr2bl w:val="nil"/>
                  </w:tcBorders>
                  <w:vAlign w:val="center"/>
                </w:tcPr>
                <w:p>
                  <w:pPr>
                    <w:jc w:val="cente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3.21</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eastAsia" w:ascii="Times New Roman" w:hAnsi="Times New Roman" w:cs="Times New Roman"/>
                      <w:color w:val="000000" w:themeColor="text1"/>
                      <w:sz w:val="18"/>
                      <w:szCs w:val="18"/>
                      <w:highlight w:val="none"/>
                      <w:vertAlign w:val="superscript"/>
                      <w:lang w:val="en-US" w:eastAsia="zh-CN"/>
                      <w14:textFill>
                        <w14:solidFill>
                          <w14:schemeClr w14:val="tx1"/>
                        </w14:solidFill>
                      </w14:textFill>
                    </w:rPr>
                    <w:t>-2</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817" w:type="pct"/>
                  <w:vMerge w:val="continue"/>
                  <w:tcBorders>
                    <w:tl2br w:val="nil"/>
                    <w:tr2bl w:val="nil"/>
                  </w:tcBorders>
                  <w:vAlign w:val="center"/>
                </w:tcPr>
                <w:p>
                  <w:pPr>
                    <w:ind w:firstLine="360" w:firstLineChars="200"/>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continue"/>
                  <w:tcBorders>
                    <w:tl2br w:val="nil"/>
                    <w:tr2bl w:val="nil"/>
                  </w:tcBorders>
                  <w:vAlign w:val="center"/>
                </w:tcPr>
                <w:p>
                  <w:pPr>
                    <w:ind w:firstLine="360" w:firstLineChars="200"/>
                    <w:rPr>
                      <w:rFonts w:hint="default" w:ascii="Times New Roman" w:hAnsi="Times New Roman" w:cs="Times New Roman"/>
                      <w:color w:val="000000" w:themeColor="text1"/>
                      <w:sz w:val="18"/>
                      <w:szCs w:val="18"/>
                      <w:highlight w:val="none"/>
                      <w14:textFill>
                        <w14:solidFill>
                          <w14:schemeClr w14:val="tx1"/>
                        </w14:solidFill>
                      </w14:textFill>
                    </w:rPr>
                  </w:pPr>
                </w:p>
              </w:tc>
              <w:tc>
                <w:tcPr>
                  <w:tcW w:w="489" w:type="pct"/>
                  <w:vMerge w:val="restart"/>
                  <w:tcBorders>
                    <w:tl2br w:val="nil"/>
                    <w:tr2bl w:val="nil"/>
                  </w:tcBorders>
                  <w:vAlign w:val="center"/>
                </w:tcPr>
                <w:p>
                  <w:pPr>
                    <w:jc w:val="center"/>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eastAsia" w:cs="Times New Roman"/>
                      <w:color w:val="000000" w:themeColor="text1"/>
                      <w:sz w:val="18"/>
                      <w:szCs w:val="18"/>
                      <w:highlight w:val="none"/>
                      <w:lang w:eastAsia="zh-CN"/>
                      <w14:textFill>
                        <w14:solidFill>
                          <w14:schemeClr w14:val="tx1"/>
                        </w14:solidFill>
                      </w14:textFill>
                    </w:rPr>
                    <w:t>硫化氢</w:t>
                  </w:r>
                </w:p>
              </w:tc>
              <w:tc>
                <w:tcPr>
                  <w:tcW w:w="902" w:type="pct"/>
                  <w:tcBorders>
                    <w:tl2br w:val="nil"/>
                    <w:tr2bl w:val="nil"/>
                  </w:tcBorders>
                  <w:vAlign w:val="center"/>
                </w:tcPr>
                <w:p>
                  <w:pPr>
                    <w:pStyle w:val="69"/>
                    <w:jc w:val="cente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pP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实测浓度</w:t>
                  </w:r>
                  <w:r>
                    <w:rPr>
                      <w:rFonts w:hint="default" w:ascii="Times New Roman" w:hAnsi="Times New Roman" w:cs="Times New Roman"/>
                      <w:color w:val="000000" w:themeColor="text1"/>
                      <w:sz w:val="18"/>
                      <w:szCs w:val="18"/>
                      <w:highlight w:val="none"/>
                      <w:lang w:eastAsia="zh-CN"/>
                      <w14:textFill>
                        <w14:solidFill>
                          <w14:schemeClr w14:val="tx1"/>
                        </w14:solidFill>
                      </w14:textFill>
                    </w:rPr>
                    <w:t>mg/m</w:t>
                  </w:r>
                  <w:r>
                    <w:rPr>
                      <w:rFonts w:hint="default" w:ascii="Times New Roman" w:hAnsi="Times New Roman" w:cs="Times New Roman"/>
                      <w:color w:val="000000" w:themeColor="text1"/>
                      <w:sz w:val="18"/>
                      <w:szCs w:val="18"/>
                      <w:highlight w:val="none"/>
                      <w:vertAlign w:val="superscript"/>
                      <w:lang w:eastAsia="zh-CN"/>
                      <w14:textFill>
                        <w14:solidFill>
                          <w14:schemeClr w14:val="tx1"/>
                        </w14:solidFill>
                      </w14:textFill>
                    </w:rPr>
                    <w:t>3</w:t>
                  </w:r>
                </w:p>
              </w:tc>
              <w:tc>
                <w:tcPr>
                  <w:tcW w:w="578" w:type="pct"/>
                  <w:tcBorders>
                    <w:tl2br w:val="nil"/>
                    <w:tr2bl w:val="nil"/>
                  </w:tcBorders>
                  <w:vAlign w:val="center"/>
                </w:tcPr>
                <w:p>
                  <w:pPr>
                    <w:pStyle w:val="69"/>
                    <w:jc w:val="cente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7.97</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eastAsia" w:ascii="Times New Roman" w:hAnsi="Times New Roman" w:cs="Times New Roman"/>
                      <w:color w:val="000000" w:themeColor="text1"/>
                      <w:sz w:val="18"/>
                      <w:szCs w:val="18"/>
                      <w:highlight w:val="none"/>
                      <w:vertAlign w:val="superscript"/>
                      <w:lang w:val="en-US" w:eastAsia="zh-CN"/>
                      <w14:textFill>
                        <w14:solidFill>
                          <w14:schemeClr w14:val="tx1"/>
                        </w14:solidFill>
                      </w14:textFill>
                    </w:rPr>
                    <w:t>-2</w:t>
                  </w:r>
                </w:p>
              </w:tc>
              <w:tc>
                <w:tcPr>
                  <w:tcW w:w="573" w:type="pct"/>
                  <w:tcBorders>
                    <w:tl2br w:val="nil"/>
                    <w:tr2bl w:val="nil"/>
                  </w:tcBorders>
                  <w:vAlign w:val="center"/>
                </w:tcPr>
                <w:p>
                  <w:pPr>
                    <w:jc w:val="cente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7.57</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eastAsia" w:ascii="Times New Roman" w:hAnsi="Times New Roman" w:cs="Times New Roman"/>
                      <w:color w:val="000000" w:themeColor="text1"/>
                      <w:sz w:val="18"/>
                      <w:szCs w:val="18"/>
                      <w:highlight w:val="none"/>
                      <w:vertAlign w:val="superscript"/>
                      <w:lang w:val="en-US" w:eastAsia="zh-CN"/>
                      <w14:textFill>
                        <w14:solidFill>
                          <w14:schemeClr w14:val="tx1"/>
                        </w14:solidFill>
                      </w14:textFill>
                    </w:rPr>
                    <w:t>-2</w:t>
                  </w:r>
                </w:p>
              </w:tc>
              <w:tc>
                <w:tcPr>
                  <w:tcW w:w="577" w:type="pct"/>
                  <w:tcBorders>
                    <w:tl2br w:val="nil"/>
                    <w:tr2bl w:val="nil"/>
                  </w:tcBorders>
                  <w:vAlign w:val="center"/>
                </w:tcPr>
                <w:p>
                  <w:pPr>
                    <w:jc w:val="cente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7.77</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eastAsia" w:ascii="Times New Roman" w:hAnsi="Times New Roman" w:cs="Times New Roman"/>
                      <w:color w:val="000000" w:themeColor="text1"/>
                      <w:sz w:val="18"/>
                      <w:szCs w:val="18"/>
                      <w:highlight w:val="none"/>
                      <w:vertAlign w:val="superscript"/>
                      <w:lang w:val="en-US" w:eastAsia="zh-CN"/>
                      <w14:textFill>
                        <w14:solidFill>
                          <w14:schemeClr w14:val="tx1"/>
                        </w14:solidFill>
                      </w14:textFill>
                    </w:rPr>
                    <w:t>-2</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817" w:type="pct"/>
                  <w:vMerge w:val="continue"/>
                  <w:tcBorders>
                    <w:tl2br w:val="nil"/>
                    <w:tr2bl w:val="nil"/>
                  </w:tcBorders>
                  <w:vAlign w:val="center"/>
                </w:tcPr>
                <w:p>
                  <w:pPr>
                    <w:ind w:firstLine="360" w:firstLineChars="200"/>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continue"/>
                  <w:tcBorders>
                    <w:tl2br w:val="nil"/>
                    <w:tr2bl w:val="nil"/>
                  </w:tcBorders>
                  <w:vAlign w:val="center"/>
                </w:tcPr>
                <w:p>
                  <w:pPr>
                    <w:ind w:firstLine="360" w:firstLineChars="200"/>
                    <w:rPr>
                      <w:rFonts w:hint="default" w:ascii="Times New Roman" w:hAnsi="Times New Roman" w:cs="Times New Roman"/>
                      <w:color w:val="000000" w:themeColor="text1"/>
                      <w:sz w:val="18"/>
                      <w:szCs w:val="18"/>
                      <w:highlight w:val="none"/>
                      <w14:textFill>
                        <w14:solidFill>
                          <w14:schemeClr w14:val="tx1"/>
                        </w14:solidFill>
                      </w14:textFill>
                    </w:rPr>
                  </w:pPr>
                </w:p>
              </w:tc>
              <w:tc>
                <w:tcPr>
                  <w:tcW w:w="489"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902" w:type="pct"/>
                  <w:tcBorders>
                    <w:tl2br w:val="nil"/>
                    <w:tr2bl w:val="nil"/>
                  </w:tcBorders>
                  <w:vAlign w:val="center"/>
                </w:tcPr>
                <w:p>
                  <w:pPr>
                    <w:pStyle w:val="69"/>
                    <w:jc w:val="cente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pPr>
                  <w: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t>排放速率</w:t>
                  </w:r>
                  <w:r>
                    <w:rPr>
                      <w:rFonts w:hint="default" w:ascii="Times New Roman" w:hAnsi="Times New Roman" w:cs="Times New Roman"/>
                      <w:color w:val="000000" w:themeColor="text1"/>
                      <w:sz w:val="18"/>
                      <w:szCs w:val="18"/>
                      <w:highlight w:val="none"/>
                      <w:lang w:eastAsia="zh-CN"/>
                      <w14:textFill>
                        <w14:solidFill>
                          <w14:schemeClr w14:val="tx1"/>
                        </w14:solidFill>
                      </w14:textFill>
                    </w:rPr>
                    <w:t>kg/h</w:t>
                  </w:r>
                </w:p>
              </w:tc>
              <w:tc>
                <w:tcPr>
                  <w:tcW w:w="578" w:type="pct"/>
                  <w:tcBorders>
                    <w:tl2br w:val="nil"/>
                    <w:tr2bl w:val="nil"/>
                  </w:tcBorders>
                  <w:vAlign w:val="center"/>
                </w:tcPr>
                <w:p>
                  <w:pPr>
                    <w:pStyle w:val="69"/>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7.67</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eastAsia" w:ascii="Times New Roman" w:hAnsi="Times New Roman" w:cs="Times New Roman"/>
                      <w:color w:val="000000" w:themeColor="text1"/>
                      <w:sz w:val="18"/>
                      <w:szCs w:val="18"/>
                      <w:highlight w:val="none"/>
                      <w:vertAlign w:val="superscript"/>
                      <w:lang w:val="en-US" w:eastAsia="zh-CN"/>
                      <w14:textFill>
                        <w14:solidFill>
                          <w14:schemeClr w14:val="tx1"/>
                        </w14:solidFill>
                      </w14:textFill>
                    </w:rPr>
                    <w:t>-4</w:t>
                  </w:r>
                </w:p>
              </w:tc>
              <w:tc>
                <w:tcPr>
                  <w:tcW w:w="573" w:type="pct"/>
                  <w:tcBorders>
                    <w:tl2br w:val="nil"/>
                    <w:tr2bl w:val="nil"/>
                  </w:tcBorders>
                  <w:vAlign w:val="center"/>
                </w:tcPr>
                <w:p>
                  <w:pPr>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7.28</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eastAsia" w:ascii="Times New Roman" w:hAnsi="Times New Roman" w:cs="Times New Roman"/>
                      <w:color w:val="000000" w:themeColor="text1"/>
                      <w:sz w:val="18"/>
                      <w:szCs w:val="18"/>
                      <w:highlight w:val="none"/>
                      <w:vertAlign w:val="superscript"/>
                      <w:lang w:val="en-US" w:eastAsia="zh-CN"/>
                      <w14:textFill>
                        <w14:solidFill>
                          <w14:schemeClr w14:val="tx1"/>
                        </w14:solidFill>
                      </w14:textFill>
                    </w:rPr>
                    <w:t>-</w:t>
                  </w:r>
                  <w:r>
                    <w:rPr>
                      <w:rFonts w:hint="eastAsia" w:cs="Times New Roman"/>
                      <w:color w:val="000000" w:themeColor="text1"/>
                      <w:sz w:val="18"/>
                      <w:szCs w:val="18"/>
                      <w:highlight w:val="none"/>
                      <w:vertAlign w:val="superscript"/>
                      <w:lang w:val="en-US" w:eastAsia="zh-CN"/>
                      <w14:textFill>
                        <w14:solidFill>
                          <w14:schemeClr w14:val="tx1"/>
                        </w14:solidFill>
                      </w14:textFill>
                    </w:rPr>
                    <w:t>4</w:t>
                  </w:r>
                </w:p>
              </w:tc>
              <w:tc>
                <w:tcPr>
                  <w:tcW w:w="577" w:type="pct"/>
                  <w:tcBorders>
                    <w:tl2br w:val="nil"/>
                    <w:tr2bl w:val="nil"/>
                  </w:tcBorders>
                  <w:vAlign w:val="center"/>
                </w:tcPr>
                <w:p>
                  <w:pPr>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7.47</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eastAsia" w:ascii="Times New Roman" w:hAnsi="Times New Roman" w:cs="Times New Roman"/>
                      <w:color w:val="000000" w:themeColor="text1"/>
                      <w:sz w:val="18"/>
                      <w:szCs w:val="18"/>
                      <w:highlight w:val="none"/>
                      <w:vertAlign w:val="superscript"/>
                      <w:lang w:val="en-US" w:eastAsia="zh-CN"/>
                      <w14:textFill>
                        <w14:solidFill>
                          <w14:schemeClr w14:val="tx1"/>
                        </w14:solidFill>
                      </w14:textFill>
                    </w:rPr>
                    <w:t>-</w:t>
                  </w:r>
                  <w:r>
                    <w:rPr>
                      <w:rFonts w:hint="eastAsia" w:cs="Times New Roman"/>
                      <w:color w:val="000000" w:themeColor="text1"/>
                      <w:sz w:val="18"/>
                      <w:szCs w:val="18"/>
                      <w:highlight w:val="none"/>
                      <w:vertAlign w:val="superscript"/>
                      <w:lang w:val="en-US" w:eastAsia="zh-CN"/>
                      <w14:textFill>
                        <w14:solidFill>
                          <w14:schemeClr w14:val="tx1"/>
                        </w14:solidFill>
                      </w14:textFill>
                    </w:rPr>
                    <w:t>4</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817" w:type="pct"/>
                  <w:vMerge w:val="continue"/>
                  <w:tcBorders>
                    <w:tl2br w:val="nil"/>
                    <w:tr2bl w:val="nil"/>
                  </w:tcBorders>
                  <w:vAlign w:val="center"/>
                </w:tcPr>
                <w:p>
                  <w:pPr>
                    <w:ind w:firstLine="360" w:firstLineChars="200"/>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continue"/>
                  <w:tcBorders>
                    <w:tl2br w:val="nil"/>
                    <w:tr2bl w:val="nil"/>
                  </w:tcBorders>
                  <w:vAlign w:val="center"/>
                </w:tcPr>
                <w:p>
                  <w:pPr>
                    <w:ind w:firstLine="360" w:firstLineChars="200"/>
                    <w:rPr>
                      <w:rFonts w:hint="default" w:ascii="Times New Roman" w:hAnsi="Times New Roman" w:cs="Times New Roman"/>
                      <w:color w:val="000000" w:themeColor="text1"/>
                      <w:sz w:val="18"/>
                      <w:szCs w:val="18"/>
                      <w:highlight w:val="none"/>
                      <w14:textFill>
                        <w14:solidFill>
                          <w14:schemeClr w14:val="tx1"/>
                        </w14:solidFill>
                      </w14:textFill>
                    </w:rPr>
                  </w:pPr>
                </w:p>
              </w:tc>
              <w:tc>
                <w:tcPr>
                  <w:tcW w:w="1391" w:type="pct"/>
                  <w:gridSpan w:val="2"/>
                  <w:tcBorders>
                    <w:tl2br w:val="nil"/>
                    <w:tr2bl w:val="nil"/>
                  </w:tcBorders>
                  <w:vAlign w:val="center"/>
                </w:tcPr>
                <w:p>
                  <w:pPr>
                    <w:pStyle w:val="69"/>
                    <w:jc w:val="center"/>
                    <w:rPr>
                      <w:rFonts w:hint="default" w:ascii="Times New Roman" w:hAnsi="Times New Roman" w:cs="Times New Roman"/>
                      <w:color w:val="000000" w:themeColor="text1"/>
                      <w:spacing w:val="20"/>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pacing w:val="20"/>
                      <w:sz w:val="18"/>
                      <w:szCs w:val="18"/>
                      <w:highlight w:val="none"/>
                      <w:lang w:eastAsia="zh-CN"/>
                      <w14:textFill>
                        <w14:solidFill>
                          <w14:schemeClr w14:val="tx1"/>
                        </w14:solidFill>
                      </w14:textFill>
                    </w:rPr>
                    <w:t>臭气浓度</w:t>
                  </w:r>
                  <w:r>
                    <w:rPr>
                      <w:rFonts w:hint="eastAsia" w:ascii="Times New Roman" w:hAnsi="Times New Roman" w:cs="Times New Roman"/>
                      <w:color w:val="000000" w:themeColor="text1"/>
                      <w:spacing w:val="20"/>
                      <w:sz w:val="18"/>
                      <w:szCs w:val="18"/>
                      <w:highlight w:val="none"/>
                      <w:lang w:val="en-US" w:eastAsia="zh-CN"/>
                      <w14:textFill>
                        <w14:solidFill>
                          <w14:schemeClr w14:val="tx1"/>
                        </w14:solidFill>
                      </w14:textFill>
                    </w:rPr>
                    <w:t>*</w:t>
                  </w:r>
                </w:p>
              </w:tc>
              <w:tc>
                <w:tcPr>
                  <w:tcW w:w="578" w:type="pct"/>
                  <w:tcBorders>
                    <w:tl2br w:val="nil"/>
                    <w:tr2bl w:val="nil"/>
                  </w:tcBorders>
                  <w:vAlign w:val="center"/>
                </w:tcPr>
                <w:p>
                  <w:pPr>
                    <w:pStyle w:val="69"/>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733</w:t>
                  </w:r>
                </w:p>
              </w:tc>
              <w:tc>
                <w:tcPr>
                  <w:tcW w:w="573" w:type="pct"/>
                  <w:tcBorders>
                    <w:tl2br w:val="nil"/>
                    <w:tr2bl w:val="nil"/>
                  </w:tcBorders>
                  <w:vAlign w:val="center"/>
                </w:tcPr>
                <w:p>
                  <w:pPr>
                    <w:jc w:val="center"/>
                    <w:rPr>
                      <w:rFonts w:hint="default"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635</w:t>
                  </w:r>
                </w:p>
              </w:tc>
              <w:tc>
                <w:tcPr>
                  <w:tcW w:w="577" w:type="pct"/>
                  <w:tcBorders>
                    <w:tl2br w:val="nil"/>
                    <w:tr2bl w:val="nil"/>
                  </w:tcBorders>
                  <w:vAlign w:val="center"/>
                </w:tcPr>
                <w:p>
                  <w:pPr>
                    <w:jc w:val="center"/>
                    <w:rPr>
                      <w:rFonts w:hint="default"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635</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9" w:hRule="atLeast"/>
                <w:jc w:val="center"/>
              </w:trPr>
              <w:tc>
                <w:tcPr>
                  <w:tcW w:w="817" w:type="pct"/>
                  <w:vMerge w:val="continue"/>
                  <w:tcBorders>
                    <w:tl2br w:val="nil"/>
                    <w:tr2bl w:val="nil"/>
                  </w:tcBorders>
                  <w:vAlign w:val="center"/>
                </w:tcPr>
                <w:p>
                  <w:pPr>
                    <w:ind w:firstLine="360" w:firstLineChars="200"/>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restart"/>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202</w:t>
                  </w:r>
                  <w:r>
                    <w:rPr>
                      <w:rFonts w:hint="eastAsia" w:cs="Times New Roman"/>
                      <w:color w:val="000000" w:themeColor="text1"/>
                      <w:sz w:val="18"/>
                      <w:szCs w:val="18"/>
                      <w:highlight w:val="none"/>
                      <w:lang w:val="en-US" w:eastAsia="zh-CN"/>
                      <w14:textFill>
                        <w14:solidFill>
                          <w14:schemeClr w14:val="tx1"/>
                        </w14:solidFill>
                      </w14:textFill>
                    </w:rPr>
                    <w:t>4</w:t>
                  </w:r>
                  <w:r>
                    <w:rPr>
                      <w:rFonts w:hint="default" w:ascii="Times New Roman" w:hAnsi="Times New Roman" w:cs="Times New Roman"/>
                      <w:color w:val="000000" w:themeColor="text1"/>
                      <w:sz w:val="18"/>
                      <w:szCs w:val="18"/>
                      <w:highlight w:val="none"/>
                      <w14:textFill>
                        <w14:solidFill>
                          <w14:schemeClr w14:val="tx1"/>
                        </w14:solidFill>
                      </w14:textFill>
                    </w:rPr>
                    <w:t>年</w:t>
                  </w:r>
                </w:p>
                <w:p>
                  <w:pPr>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5</w:t>
                  </w:r>
                  <w:r>
                    <w:rPr>
                      <w:rFonts w:hint="default" w:ascii="Times New Roman" w:hAnsi="Times New Roman" w:cs="Times New Roman"/>
                      <w:color w:val="000000" w:themeColor="text1"/>
                      <w:sz w:val="18"/>
                      <w:szCs w:val="18"/>
                      <w:highlight w:val="none"/>
                      <w14:textFill>
                        <w14:solidFill>
                          <w14:schemeClr w14:val="tx1"/>
                        </w14:solidFill>
                      </w14:textFill>
                    </w:rPr>
                    <w:t>月</w:t>
                  </w:r>
                  <w:r>
                    <w:rPr>
                      <w:rFonts w:hint="eastAsia" w:cs="Times New Roman"/>
                      <w:color w:val="000000" w:themeColor="text1"/>
                      <w:sz w:val="18"/>
                      <w:szCs w:val="18"/>
                      <w:highlight w:val="none"/>
                      <w:lang w:val="en-US" w:eastAsia="zh-CN"/>
                      <w14:textFill>
                        <w14:solidFill>
                          <w14:schemeClr w14:val="tx1"/>
                        </w14:solidFill>
                      </w14:textFill>
                    </w:rPr>
                    <w:t>9</w:t>
                  </w:r>
                  <w:r>
                    <w:rPr>
                      <w:rFonts w:hint="default" w:ascii="Times New Roman" w:hAnsi="Times New Roman" w:cs="Times New Roman"/>
                      <w:color w:val="000000" w:themeColor="text1"/>
                      <w:sz w:val="18"/>
                      <w:szCs w:val="18"/>
                      <w:highlight w:val="none"/>
                      <w14:textFill>
                        <w14:solidFill>
                          <w14:schemeClr w14:val="tx1"/>
                        </w14:solidFill>
                      </w14:textFill>
                    </w:rPr>
                    <w:t>日</w:t>
                  </w:r>
                </w:p>
              </w:tc>
              <w:tc>
                <w:tcPr>
                  <w:tcW w:w="489" w:type="pct"/>
                  <w:vMerge w:val="restart"/>
                  <w:tcBorders>
                    <w:tl2br w:val="nil"/>
                    <w:tr2bl w:val="nil"/>
                  </w:tcBorders>
                  <w:vAlign w:val="center"/>
                </w:tcPr>
                <w:p>
                  <w:pPr>
                    <w:pStyle w:val="69"/>
                    <w:jc w:val="center"/>
                    <w:rPr>
                      <w:rFonts w:hint="default" w:ascii="Times New Roman" w:hAnsi="Times New Roman" w:eastAsia="宋体" w:cs="Times New Roman"/>
                      <w:color w:val="000000" w:themeColor="text1"/>
                      <w:spacing w:val="-1"/>
                      <w:kern w:val="0"/>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1"/>
                      <w:kern w:val="0"/>
                      <w:sz w:val="18"/>
                      <w:szCs w:val="18"/>
                      <w:highlight w:val="none"/>
                      <w:lang w:val="en-US" w:eastAsia="zh-CN" w:bidi="ar-SA"/>
                      <w14:textFill>
                        <w14:solidFill>
                          <w14:schemeClr w14:val="tx1"/>
                        </w14:solidFill>
                      </w14:textFill>
                    </w:rPr>
                    <w:t>烟气参数</w:t>
                  </w:r>
                </w:p>
              </w:tc>
              <w:tc>
                <w:tcPr>
                  <w:tcW w:w="902" w:type="pct"/>
                  <w:tcBorders>
                    <w:tl2br w:val="nil"/>
                    <w:tr2bl w:val="nil"/>
                  </w:tcBorders>
                  <w:vAlign w:val="center"/>
                </w:tcPr>
                <w:p>
                  <w:pPr>
                    <w:pStyle w:val="69"/>
                    <w:jc w:val="cente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pP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烟温（℃）</w:t>
                  </w:r>
                </w:p>
              </w:tc>
              <w:tc>
                <w:tcPr>
                  <w:tcW w:w="578" w:type="pct"/>
                  <w:tcBorders>
                    <w:tl2br w:val="nil"/>
                    <w:tr2bl w:val="nil"/>
                  </w:tcBorders>
                  <w:vAlign w:val="center"/>
                </w:tcPr>
                <w:p>
                  <w:pPr>
                    <w:pStyle w:val="69"/>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t>2</w:t>
                  </w: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9</w:t>
                  </w:r>
                </w:p>
              </w:tc>
              <w:tc>
                <w:tcPr>
                  <w:tcW w:w="573" w:type="pct"/>
                  <w:tcBorders>
                    <w:tl2br w:val="nil"/>
                    <w:tr2bl w:val="nil"/>
                  </w:tcBorders>
                  <w:vAlign w:val="center"/>
                </w:tcPr>
                <w:p>
                  <w:pPr>
                    <w:pStyle w:val="69"/>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t>2</w:t>
                  </w: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9</w:t>
                  </w:r>
                </w:p>
              </w:tc>
              <w:tc>
                <w:tcPr>
                  <w:tcW w:w="577" w:type="pct"/>
                  <w:tcBorders>
                    <w:tl2br w:val="nil"/>
                    <w:tr2bl w:val="nil"/>
                  </w:tcBorders>
                  <w:vAlign w:val="center"/>
                </w:tcPr>
                <w:p>
                  <w:pPr>
                    <w:pStyle w:val="69"/>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30</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17" w:type="pct"/>
                  <w:vMerge w:val="continue"/>
                  <w:tcBorders>
                    <w:tl2br w:val="nil"/>
                    <w:tr2bl w:val="nil"/>
                  </w:tcBorders>
                  <w:vAlign w:val="center"/>
                </w:tcPr>
                <w:p>
                  <w:pPr>
                    <w:ind w:firstLine="360" w:firstLineChars="200"/>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continue"/>
                  <w:tcBorders>
                    <w:tl2br w:val="nil"/>
                    <w:tr2bl w:val="nil"/>
                  </w:tcBorders>
                  <w:vAlign w:val="center"/>
                </w:tcPr>
                <w:p>
                  <w:pPr>
                    <w:jc w:val="center"/>
                    <w:rPr>
                      <w:rFonts w:hint="eastAsia" w:cs="Times New Roman"/>
                      <w:color w:val="000000" w:themeColor="text1"/>
                      <w:sz w:val="18"/>
                      <w:szCs w:val="18"/>
                      <w:highlight w:val="none"/>
                      <w:lang w:val="en-US" w:eastAsia="zh-CN"/>
                      <w14:textFill>
                        <w14:solidFill>
                          <w14:schemeClr w14:val="tx1"/>
                        </w14:solidFill>
                      </w14:textFill>
                    </w:rPr>
                  </w:pPr>
                </w:p>
              </w:tc>
              <w:tc>
                <w:tcPr>
                  <w:tcW w:w="489" w:type="pct"/>
                  <w:vMerge w:val="continue"/>
                  <w:tcBorders>
                    <w:tl2br w:val="nil"/>
                    <w:tr2bl w:val="nil"/>
                  </w:tcBorders>
                  <w:vAlign w:val="center"/>
                </w:tcPr>
                <w:p>
                  <w:pPr>
                    <w:pStyle w:val="69"/>
                    <w:jc w:val="center"/>
                    <w:rPr>
                      <w:rFonts w:hint="default" w:ascii="Times New Roman" w:hAnsi="Times New Roman" w:eastAsia="宋体" w:cs="Times New Roman"/>
                      <w:color w:val="000000" w:themeColor="text1"/>
                      <w:spacing w:val="-1"/>
                      <w:kern w:val="0"/>
                      <w:sz w:val="18"/>
                      <w:szCs w:val="18"/>
                      <w:highlight w:val="none"/>
                      <w:lang w:val="en-US" w:eastAsia="zh-CN" w:bidi="ar-SA"/>
                      <w14:textFill>
                        <w14:solidFill>
                          <w14:schemeClr w14:val="tx1"/>
                        </w14:solidFill>
                      </w14:textFill>
                    </w:rPr>
                  </w:pPr>
                </w:p>
              </w:tc>
              <w:tc>
                <w:tcPr>
                  <w:tcW w:w="902" w:type="pct"/>
                  <w:tcBorders>
                    <w:tl2br w:val="nil"/>
                    <w:tr2bl w:val="nil"/>
                  </w:tcBorders>
                  <w:vAlign w:val="center"/>
                </w:tcPr>
                <w:p>
                  <w:pPr>
                    <w:pStyle w:val="69"/>
                    <w:jc w:val="center"/>
                    <w:rPr>
                      <w:rFonts w:hint="default" w:ascii="Times New Roman" w:hAnsi="Times New Roman" w:cs="Times New Roman"/>
                      <w:color w:val="000000" w:themeColor="text1"/>
                      <w:spacing w:val="-1"/>
                      <w:kern w:val="0"/>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1"/>
                      <w:kern w:val="0"/>
                      <w:sz w:val="18"/>
                      <w:szCs w:val="18"/>
                      <w:highlight w:val="none"/>
                      <w:lang w:val="en-US" w:eastAsia="zh-CN" w:bidi="ar-SA"/>
                      <w14:textFill>
                        <w14:solidFill>
                          <w14:schemeClr w14:val="tx1"/>
                        </w14:solidFill>
                      </w14:textFill>
                    </w:rPr>
                    <w:t>流速（m/s）</w:t>
                  </w:r>
                </w:p>
              </w:tc>
              <w:tc>
                <w:tcPr>
                  <w:tcW w:w="578" w:type="pct"/>
                  <w:tcBorders>
                    <w:tl2br w:val="nil"/>
                    <w:tr2bl w:val="nil"/>
                  </w:tcBorders>
                  <w:vAlign w:val="center"/>
                </w:tcPr>
                <w:p>
                  <w:pPr>
                    <w:pStyle w:val="69"/>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t>3.0</w:t>
                  </w:r>
                </w:p>
              </w:tc>
              <w:tc>
                <w:tcPr>
                  <w:tcW w:w="573" w:type="pct"/>
                  <w:tcBorders>
                    <w:tl2br w:val="nil"/>
                    <w:tr2bl w:val="nil"/>
                  </w:tcBorders>
                  <w:vAlign w:val="center"/>
                </w:tcPr>
                <w:p>
                  <w:pPr>
                    <w:pStyle w:val="69"/>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t>3.</w:t>
                  </w: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2</w:t>
                  </w:r>
                </w:p>
              </w:tc>
              <w:tc>
                <w:tcPr>
                  <w:tcW w:w="577" w:type="pct"/>
                  <w:tcBorders>
                    <w:tl2br w:val="nil"/>
                    <w:tr2bl w:val="nil"/>
                  </w:tcBorders>
                  <w:vAlign w:val="center"/>
                </w:tcPr>
                <w:p>
                  <w:pPr>
                    <w:pStyle w:val="69"/>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t>3.0</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9" w:hRule="atLeast"/>
                <w:jc w:val="center"/>
              </w:trPr>
              <w:tc>
                <w:tcPr>
                  <w:tcW w:w="817" w:type="pct"/>
                  <w:vMerge w:val="continue"/>
                  <w:tcBorders>
                    <w:tl2br w:val="nil"/>
                    <w:tr2bl w:val="nil"/>
                  </w:tcBorders>
                  <w:vAlign w:val="center"/>
                </w:tcPr>
                <w:p>
                  <w:pPr>
                    <w:ind w:firstLine="360" w:firstLineChars="200"/>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continue"/>
                  <w:tcBorders>
                    <w:tl2br w:val="nil"/>
                    <w:tr2bl w:val="nil"/>
                  </w:tcBorders>
                  <w:vAlign w:val="center"/>
                </w:tcPr>
                <w:p>
                  <w:pPr>
                    <w:jc w:val="center"/>
                    <w:rPr>
                      <w:rFonts w:hint="eastAsia" w:cs="Times New Roman"/>
                      <w:color w:val="000000" w:themeColor="text1"/>
                      <w:sz w:val="18"/>
                      <w:szCs w:val="18"/>
                      <w:highlight w:val="none"/>
                      <w:lang w:val="en-US" w:eastAsia="zh-CN"/>
                      <w14:textFill>
                        <w14:solidFill>
                          <w14:schemeClr w14:val="tx1"/>
                        </w14:solidFill>
                      </w14:textFill>
                    </w:rPr>
                  </w:pPr>
                </w:p>
              </w:tc>
              <w:tc>
                <w:tcPr>
                  <w:tcW w:w="489" w:type="pct"/>
                  <w:vMerge w:val="continue"/>
                  <w:tcBorders>
                    <w:tl2br w:val="nil"/>
                    <w:tr2bl w:val="nil"/>
                  </w:tcBorders>
                  <w:vAlign w:val="center"/>
                </w:tcPr>
                <w:p>
                  <w:pPr>
                    <w:pStyle w:val="69"/>
                    <w:jc w:val="center"/>
                    <w:rPr>
                      <w:rFonts w:hint="default" w:ascii="Times New Roman" w:hAnsi="Times New Roman" w:eastAsia="宋体" w:cs="Times New Roman"/>
                      <w:color w:val="000000" w:themeColor="text1"/>
                      <w:spacing w:val="-1"/>
                      <w:kern w:val="0"/>
                      <w:sz w:val="18"/>
                      <w:szCs w:val="18"/>
                      <w:highlight w:val="none"/>
                      <w:lang w:val="en-US" w:eastAsia="zh-CN" w:bidi="ar-SA"/>
                      <w14:textFill>
                        <w14:solidFill>
                          <w14:schemeClr w14:val="tx1"/>
                        </w14:solidFill>
                      </w14:textFill>
                    </w:rPr>
                  </w:pPr>
                </w:p>
              </w:tc>
              <w:tc>
                <w:tcPr>
                  <w:tcW w:w="902" w:type="pct"/>
                  <w:tcBorders>
                    <w:tl2br w:val="nil"/>
                    <w:tr2bl w:val="nil"/>
                  </w:tcBorders>
                  <w:vAlign w:val="center"/>
                </w:tcPr>
                <w:p>
                  <w:pPr>
                    <w:pStyle w:val="69"/>
                    <w:jc w:val="cente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pP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含湿量（</w:t>
                  </w:r>
                  <w:r>
                    <w:rPr>
                      <w:rFonts w:hint="default" w:ascii="Times New Roman" w:hAnsi="Times New Roman" w:cs="Times New Roman"/>
                      <w:color w:val="000000" w:themeColor="text1"/>
                      <w:spacing w:val="-1"/>
                      <w:sz w:val="18"/>
                      <w:szCs w:val="18"/>
                      <w:highlight w:val="none"/>
                      <w:lang w:val="en-US" w:eastAsia="zh-CN"/>
                      <w14:textFill>
                        <w14:solidFill>
                          <w14:schemeClr w14:val="tx1"/>
                        </w14:solidFill>
                      </w14:textFill>
                    </w:rPr>
                    <w:t>%</w:t>
                  </w: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w:t>
                  </w:r>
                </w:p>
              </w:tc>
              <w:tc>
                <w:tcPr>
                  <w:tcW w:w="578" w:type="pct"/>
                  <w:tcBorders>
                    <w:tl2br w:val="nil"/>
                    <w:tr2bl w:val="nil"/>
                  </w:tcBorders>
                  <w:vAlign w:val="center"/>
                </w:tcPr>
                <w:p>
                  <w:pPr>
                    <w:pStyle w:val="69"/>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t>4.</w:t>
                  </w: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2</w:t>
                  </w:r>
                </w:p>
              </w:tc>
              <w:tc>
                <w:tcPr>
                  <w:tcW w:w="573" w:type="pct"/>
                  <w:tcBorders>
                    <w:tl2br w:val="nil"/>
                    <w:tr2bl w:val="nil"/>
                  </w:tcBorders>
                  <w:vAlign w:val="center"/>
                </w:tcPr>
                <w:p>
                  <w:pPr>
                    <w:pStyle w:val="69"/>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t>4.</w:t>
                  </w: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2</w:t>
                  </w:r>
                </w:p>
              </w:tc>
              <w:tc>
                <w:tcPr>
                  <w:tcW w:w="577" w:type="pct"/>
                  <w:tcBorders>
                    <w:tl2br w:val="nil"/>
                    <w:tr2bl w:val="nil"/>
                  </w:tcBorders>
                  <w:vAlign w:val="center"/>
                </w:tcPr>
                <w:p>
                  <w:pPr>
                    <w:pStyle w:val="69"/>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t>4.</w:t>
                  </w: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2</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9" w:hRule="atLeast"/>
                <w:jc w:val="center"/>
              </w:trPr>
              <w:tc>
                <w:tcPr>
                  <w:tcW w:w="817" w:type="pct"/>
                  <w:vMerge w:val="continue"/>
                  <w:tcBorders>
                    <w:tl2br w:val="nil"/>
                    <w:tr2bl w:val="nil"/>
                  </w:tcBorders>
                  <w:vAlign w:val="center"/>
                </w:tcPr>
                <w:p>
                  <w:pPr>
                    <w:ind w:firstLine="360" w:firstLineChars="200"/>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continue"/>
                  <w:tcBorders>
                    <w:tl2br w:val="nil"/>
                    <w:tr2bl w:val="nil"/>
                  </w:tcBorders>
                  <w:vAlign w:val="center"/>
                </w:tcPr>
                <w:p>
                  <w:pPr>
                    <w:jc w:val="center"/>
                    <w:rPr>
                      <w:rFonts w:hint="eastAsia" w:cs="Times New Roman"/>
                      <w:color w:val="000000" w:themeColor="text1"/>
                      <w:sz w:val="18"/>
                      <w:szCs w:val="18"/>
                      <w:highlight w:val="none"/>
                      <w:lang w:val="en-US" w:eastAsia="zh-CN"/>
                      <w14:textFill>
                        <w14:solidFill>
                          <w14:schemeClr w14:val="tx1"/>
                        </w14:solidFill>
                      </w14:textFill>
                    </w:rPr>
                  </w:pPr>
                </w:p>
              </w:tc>
              <w:tc>
                <w:tcPr>
                  <w:tcW w:w="489" w:type="pct"/>
                  <w:vMerge w:val="continue"/>
                  <w:tcBorders>
                    <w:tl2br w:val="nil"/>
                    <w:tr2bl w:val="nil"/>
                  </w:tcBorders>
                  <w:vAlign w:val="center"/>
                </w:tcPr>
                <w:p>
                  <w:pPr>
                    <w:pStyle w:val="69"/>
                    <w:jc w:val="center"/>
                    <w:rPr>
                      <w:rFonts w:hint="default" w:ascii="Times New Roman" w:hAnsi="Times New Roman" w:eastAsia="宋体" w:cs="Times New Roman"/>
                      <w:color w:val="000000" w:themeColor="text1"/>
                      <w:spacing w:val="-1"/>
                      <w:kern w:val="0"/>
                      <w:sz w:val="18"/>
                      <w:szCs w:val="18"/>
                      <w:highlight w:val="none"/>
                      <w:lang w:val="en-US" w:eastAsia="zh-CN" w:bidi="ar-SA"/>
                      <w14:textFill>
                        <w14:solidFill>
                          <w14:schemeClr w14:val="tx1"/>
                        </w14:solidFill>
                      </w14:textFill>
                    </w:rPr>
                  </w:pPr>
                </w:p>
              </w:tc>
              <w:tc>
                <w:tcPr>
                  <w:tcW w:w="902" w:type="pct"/>
                  <w:tcBorders>
                    <w:tl2br w:val="nil"/>
                    <w:tr2bl w:val="nil"/>
                  </w:tcBorders>
                  <w:vAlign w:val="center"/>
                </w:tcPr>
                <w:p>
                  <w:pPr>
                    <w:pStyle w:val="69"/>
                    <w:jc w:val="cente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pP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烟气流量（m</w:t>
                  </w:r>
                  <w:r>
                    <w:rPr>
                      <w:rFonts w:hint="default" w:ascii="Times New Roman" w:hAnsi="Times New Roman" w:cs="Times New Roman"/>
                      <w:color w:val="000000" w:themeColor="text1"/>
                      <w:spacing w:val="-1"/>
                      <w:sz w:val="18"/>
                      <w:szCs w:val="18"/>
                      <w:highlight w:val="none"/>
                      <w:vertAlign w:val="superscript"/>
                      <w:lang w:eastAsia="zh-CN"/>
                      <w14:textFill>
                        <w14:solidFill>
                          <w14:schemeClr w14:val="tx1"/>
                        </w14:solidFill>
                      </w14:textFill>
                    </w:rPr>
                    <w:t>3</w:t>
                  </w: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/h）</w:t>
                  </w:r>
                </w:p>
              </w:tc>
              <w:tc>
                <w:tcPr>
                  <w:tcW w:w="578" w:type="pct"/>
                  <w:tcBorders>
                    <w:tl2br w:val="nil"/>
                    <w:tr2bl w:val="nil"/>
                  </w:tcBorders>
                  <w:vAlign w:val="center"/>
                </w:tcPr>
                <w:p>
                  <w:pPr>
                    <w:pStyle w:val="69"/>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t>1.1</w:t>
                  </w: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1</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cs="Times New Roman"/>
                      <w:color w:val="000000" w:themeColor="text1"/>
                      <w:sz w:val="18"/>
                      <w:szCs w:val="18"/>
                      <w:highlight w:val="none"/>
                      <w:vertAlign w:val="superscript"/>
                      <w:lang w:val="en-US" w:eastAsia="zh-CN"/>
                      <w14:textFill>
                        <w14:solidFill>
                          <w14:schemeClr w14:val="tx1"/>
                        </w14:solidFill>
                      </w14:textFill>
                    </w:rPr>
                    <w:t>4</w:t>
                  </w:r>
                </w:p>
              </w:tc>
              <w:tc>
                <w:tcPr>
                  <w:tcW w:w="573" w:type="pct"/>
                  <w:tcBorders>
                    <w:tl2br w:val="nil"/>
                    <w:tr2bl w:val="nil"/>
                  </w:tcBorders>
                  <w:vAlign w:val="center"/>
                </w:tcPr>
                <w:p>
                  <w:pPr>
                    <w:pStyle w:val="69"/>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t>1.1</w:t>
                  </w: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8</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cs="Times New Roman"/>
                      <w:color w:val="000000" w:themeColor="text1"/>
                      <w:sz w:val="18"/>
                      <w:szCs w:val="18"/>
                      <w:highlight w:val="none"/>
                      <w:vertAlign w:val="superscript"/>
                      <w:lang w:val="en-US" w:eastAsia="zh-CN"/>
                      <w14:textFill>
                        <w14:solidFill>
                          <w14:schemeClr w14:val="tx1"/>
                        </w14:solidFill>
                      </w14:textFill>
                    </w:rPr>
                    <w:t>4</w:t>
                  </w:r>
                </w:p>
              </w:tc>
              <w:tc>
                <w:tcPr>
                  <w:tcW w:w="577" w:type="pct"/>
                  <w:tcBorders>
                    <w:tl2br w:val="nil"/>
                    <w:tr2bl w:val="nil"/>
                  </w:tcBorders>
                  <w:vAlign w:val="center"/>
                </w:tcPr>
                <w:p>
                  <w:pPr>
                    <w:pStyle w:val="69"/>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t>1.1</w:t>
                  </w: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1</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cs="Times New Roman"/>
                      <w:color w:val="000000" w:themeColor="text1"/>
                      <w:sz w:val="18"/>
                      <w:szCs w:val="18"/>
                      <w:highlight w:val="none"/>
                      <w:vertAlign w:val="superscript"/>
                      <w:lang w:val="en-US" w:eastAsia="zh-CN"/>
                      <w14:textFill>
                        <w14:solidFill>
                          <w14:schemeClr w14:val="tx1"/>
                        </w14:solidFill>
                      </w14:textFill>
                    </w:rPr>
                    <w:t>4</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9" w:hRule="atLeast"/>
                <w:jc w:val="center"/>
              </w:trPr>
              <w:tc>
                <w:tcPr>
                  <w:tcW w:w="817" w:type="pct"/>
                  <w:vMerge w:val="continue"/>
                  <w:tcBorders>
                    <w:tl2br w:val="nil"/>
                    <w:tr2bl w:val="nil"/>
                  </w:tcBorders>
                  <w:vAlign w:val="center"/>
                </w:tcPr>
                <w:p>
                  <w:pPr>
                    <w:ind w:firstLine="360" w:firstLineChars="200"/>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continue"/>
                  <w:tcBorders>
                    <w:tl2br w:val="nil"/>
                    <w:tr2bl w:val="nil"/>
                  </w:tcBorders>
                  <w:vAlign w:val="center"/>
                </w:tcPr>
                <w:p>
                  <w:pPr>
                    <w:jc w:val="center"/>
                    <w:rPr>
                      <w:rFonts w:hint="eastAsia" w:cs="Times New Roman"/>
                      <w:color w:val="000000" w:themeColor="text1"/>
                      <w:sz w:val="18"/>
                      <w:szCs w:val="18"/>
                      <w:highlight w:val="none"/>
                      <w:lang w:val="en-US" w:eastAsia="zh-CN"/>
                      <w14:textFill>
                        <w14:solidFill>
                          <w14:schemeClr w14:val="tx1"/>
                        </w14:solidFill>
                      </w14:textFill>
                    </w:rPr>
                  </w:pPr>
                </w:p>
              </w:tc>
              <w:tc>
                <w:tcPr>
                  <w:tcW w:w="489" w:type="pct"/>
                  <w:vMerge w:val="continue"/>
                  <w:tcBorders>
                    <w:tl2br w:val="nil"/>
                    <w:tr2bl w:val="nil"/>
                  </w:tcBorders>
                  <w:vAlign w:val="center"/>
                </w:tcPr>
                <w:p>
                  <w:pPr>
                    <w:pStyle w:val="69"/>
                    <w:jc w:val="center"/>
                    <w:rPr>
                      <w:rFonts w:hint="default" w:ascii="Times New Roman" w:hAnsi="Times New Roman" w:eastAsia="宋体" w:cs="Times New Roman"/>
                      <w:color w:val="000000" w:themeColor="text1"/>
                      <w:spacing w:val="-1"/>
                      <w:kern w:val="0"/>
                      <w:sz w:val="18"/>
                      <w:szCs w:val="18"/>
                      <w:highlight w:val="none"/>
                      <w:lang w:val="en-US" w:eastAsia="zh-CN" w:bidi="ar-SA"/>
                      <w14:textFill>
                        <w14:solidFill>
                          <w14:schemeClr w14:val="tx1"/>
                        </w14:solidFill>
                      </w14:textFill>
                    </w:rPr>
                  </w:pPr>
                </w:p>
              </w:tc>
              <w:tc>
                <w:tcPr>
                  <w:tcW w:w="902" w:type="pct"/>
                  <w:tcBorders>
                    <w:tl2br w:val="nil"/>
                    <w:tr2bl w:val="nil"/>
                  </w:tcBorders>
                  <w:vAlign w:val="center"/>
                </w:tcPr>
                <w:p>
                  <w:pPr>
                    <w:pStyle w:val="69"/>
                    <w:jc w:val="cente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pP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标干流量（</w:t>
                  </w:r>
                  <w:r>
                    <w:rPr>
                      <w:rFonts w:hint="default" w:ascii="Times New Roman" w:hAnsi="Times New Roman" w:cs="Times New Roman"/>
                      <w:color w:val="000000" w:themeColor="text1"/>
                      <w:spacing w:val="-1"/>
                      <w:sz w:val="18"/>
                      <w:szCs w:val="18"/>
                      <w:highlight w:val="none"/>
                      <w:lang w:val="en-US" w:eastAsia="zh-CN"/>
                      <w14:textFill>
                        <w14:solidFill>
                          <w14:schemeClr w14:val="tx1"/>
                        </w14:solidFill>
                      </w14:textFill>
                    </w:rPr>
                    <w:t>N</w:t>
                  </w: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m</w:t>
                  </w:r>
                  <w:r>
                    <w:rPr>
                      <w:rFonts w:hint="default" w:ascii="Times New Roman" w:hAnsi="Times New Roman" w:cs="Times New Roman"/>
                      <w:color w:val="000000" w:themeColor="text1"/>
                      <w:spacing w:val="-1"/>
                      <w:sz w:val="18"/>
                      <w:szCs w:val="18"/>
                      <w:highlight w:val="none"/>
                      <w:vertAlign w:val="superscript"/>
                      <w:lang w:eastAsia="zh-CN"/>
                      <w14:textFill>
                        <w14:solidFill>
                          <w14:schemeClr w14:val="tx1"/>
                        </w14:solidFill>
                      </w14:textFill>
                    </w:rPr>
                    <w:t>3</w:t>
                  </w: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/h）</w:t>
                  </w:r>
                </w:p>
              </w:tc>
              <w:tc>
                <w:tcPr>
                  <w:tcW w:w="578" w:type="pct"/>
                  <w:tcBorders>
                    <w:tl2br w:val="nil"/>
                    <w:tr2bl w:val="nil"/>
                  </w:tcBorders>
                  <w:vAlign w:val="center"/>
                </w:tcPr>
                <w:p>
                  <w:pPr>
                    <w:pStyle w:val="69"/>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t>9.</w:t>
                  </w: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57</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cs="Times New Roman"/>
                      <w:color w:val="000000" w:themeColor="text1"/>
                      <w:sz w:val="18"/>
                      <w:szCs w:val="18"/>
                      <w:highlight w:val="none"/>
                      <w:vertAlign w:val="superscript"/>
                      <w:lang w:val="en-US" w:eastAsia="zh-CN"/>
                      <w14:textFill>
                        <w14:solidFill>
                          <w14:schemeClr w14:val="tx1"/>
                        </w14:solidFill>
                      </w14:textFill>
                    </w:rPr>
                    <w:t>3</w:t>
                  </w:r>
                </w:p>
              </w:tc>
              <w:tc>
                <w:tcPr>
                  <w:tcW w:w="573" w:type="pct"/>
                  <w:tcBorders>
                    <w:tl2br w:val="nil"/>
                    <w:tr2bl w:val="nil"/>
                  </w:tcBorders>
                  <w:vAlign w:val="center"/>
                </w:tcPr>
                <w:p>
                  <w:pPr>
                    <w:pStyle w:val="69"/>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1.02</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eastAsia" w:ascii="Times New Roman" w:hAnsi="Times New Roman" w:cs="Times New Roman"/>
                      <w:color w:val="000000" w:themeColor="text1"/>
                      <w:sz w:val="18"/>
                      <w:szCs w:val="18"/>
                      <w:highlight w:val="none"/>
                      <w:vertAlign w:val="superscript"/>
                      <w:lang w:val="en-US" w:eastAsia="zh-CN"/>
                      <w14:textFill>
                        <w14:solidFill>
                          <w14:schemeClr w14:val="tx1"/>
                        </w14:solidFill>
                      </w14:textFill>
                    </w:rPr>
                    <w:t>4</w:t>
                  </w:r>
                </w:p>
              </w:tc>
              <w:tc>
                <w:tcPr>
                  <w:tcW w:w="577" w:type="pct"/>
                  <w:tcBorders>
                    <w:tl2br w:val="nil"/>
                    <w:tr2bl w:val="nil"/>
                  </w:tcBorders>
                  <w:vAlign w:val="center"/>
                </w:tcPr>
                <w:p>
                  <w:pPr>
                    <w:pStyle w:val="69"/>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9.55</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cs="Times New Roman"/>
                      <w:color w:val="000000" w:themeColor="text1"/>
                      <w:sz w:val="18"/>
                      <w:szCs w:val="18"/>
                      <w:highlight w:val="none"/>
                      <w:vertAlign w:val="superscript"/>
                      <w:lang w:val="en-US" w:eastAsia="zh-CN"/>
                      <w14:textFill>
                        <w14:solidFill>
                          <w14:schemeClr w14:val="tx1"/>
                        </w14:solidFill>
                      </w14:textFill>
                    </w:rPr>
                    <w:t>3</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9" w:hRule="atLeast"/>
                <w:jc w:val="center"/>
              </w:trPr>
              <w:tc>
                <w:tcPr>
                  <w:tcW w:w="817" w:type="pct"/>
                  <w:vMerge w:val="continue"/>
                  <w:tcBorders>
                    <w:tl2br w:val="nil"/>
                    <w:tr2bl w:val="nil"/>
                  </w:tcBorders>
                  <w:vAlign w:val="center"/>
                </w:tcPr>
                <w:p>
                  <w:pPr>
                    <w:ind w:firstLine="360" w:firstLineChars="200"/>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489" w:type="pct"/>
                  <w:vMerge w:val="restart"/>
                  <w:tcBorders>
                    <w:tl2br w:val="nil"/>
                    <w:tr2bl w:val="nil"/>
                  </w:tcBorders>
                  <w:vAlign w:val="center"/>
                </w:tcPr>
                <w:p>
                  <w:pPr>
                    <w:jc w:val="center"/>
                    <w:rPr>
                      <w:rFonts w:hint="default" w:ascii="Times New Roman" w:hAnsi="Times New Roman" w:cs="Times New Roman"/>
                      <w:color w:val="000000" w:themeColor="text1"/>
                      <w:sz w:val="18"/>
                      <w:szCs w:val="18"/>
                      <w:highlight w:val="none"/>
                      <w:lang w:eastAsia="zh-CN"/>
                      <w14:textFill>
                        <w14:solidFill>
                          <w14:schemeClr w14:val="tx1"/>
                        </w14:solidFill>
                      </w14:textFill>
                    </w:rPr>
                  </w:pPr>
                  <w:r>
                    <w:rPr>
                      <w:rFonts w:hint="default" w:ascii="Times New Roman" w:hAnsi="Times New Roman" w:cs="Times New Roman"/>
                      <w:color w:val="000000" w:themeColor="text1"/>
                      <w:sz w:val="18"/>
                      <w:szCs w:val="18"/>
                      <w:highlight w:val="none"/>
                      <w:lang w:eastAsia="zh-CN"/>
                      <w14:textFill>
                        <w14:solidFill>
                          <w14:schemeClr w14:val="tx1"/>
                        </w14:solidFill>
                      </w14:textFill>
                    </w:rPr>
                    <w:t>氨</w:t>
                  </w:r>
                </w:p>
              </w:tc>
              <w:tc>
                <w:tcPr>
                  <w:tcW w:w="902" w:type="pct"/>
                  <w:tcBorders>
                    <w:tl2br w:val="nil"/>
                    <w:tr2bl w:val="nil"/>
                  </w:tcBorders>
                  <w:vAlign w:val="center"/>
                </w:tcPr>
                <w:p>
                  <w:pPr>
                    <w:pStyle w:val="69"/>
                    <w:jc w:val="cente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实测浓度</w:t>
                  </w:r>
                  <w:r>
                    <w:rPr>
                      <w:rFonts w:hint="default" w:ascii="Times New Roman" w:hAnsi="Times New Roman" w:cs="Times New Roman"/>
                      <w:color w:val="000000" w:themeColor="text1"/>
                      <w:sz w:val="18"/>
                      <w:szCs w:val="18"/>
                      <w:highlight w:val="none"/>
                      <w:lang w:eastAsia="zh-CN"/>
                      <w14:textFill>
                        <w14:solidFill>
                          <w14:schemeClr w14:val="tx1"/>
                        </w14:solidFill>
                      </w14:textFill>
                    </w:rPr>
                    <w:t>mg/m</w:t>
                  </w:r>
                  <w:r>
                    <w:rPr>
                      <w:rFonts w:hint="default" w:ascii="Times New Roman" w:hAnsi="Times New Roman" w:cs="Times New Roman"/>
                      <w:color w:val="000000" w:themeColor="text1"/>
                      <w:sz w:val="18"/>
                      <w:szCs w:val="18"/>
                      <w:highlight w:val="none"/>
                      <w:vertAlign w:val="superscript"/>
                      <w:lang w:eastAsia="zh-CN"/>
                      <w14:textFill>
                        <w14:solidFill>
                          <w14:schemeClr w14:val="tx1"/>
                        </w14:solidFill>
                      </w14:textFill>
                    </w:rPr>
                    <w:t>3</w:t>
                  </w:r>
                </w:p>
              </w:tc>
              <w:tc>
                <w:tcPr>
                  <w:tcW w:w="578" w:type="pct"/>
                  <w:tcBorders>
                    <w:tl2br w:val="nil"/>
                    <w:tr2bl w:val="nil"/>
                  </w:tcBorders>
                  <w:vAlign w:val="center"/>
                </w:tcPr>
                <w:p>
                  <w:pPr>
                    <w:pStyle w:val="69"/>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t>3.2</w:t>
                  </w: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9</w:t>
                  </w:r>
                </w:p>
              </w:tc>
              <w:tc>
                <w:tcPr>
                  <w:tcW w:w="573" w:type="pct"/>
                  <w:tcBorders>
                    <w:tl2br w:val="nil"/>
                    <w:tr2bl w:val="nil"/>
                  </w:tcBorders>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t>3.</w:t>
                  </w: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43</w:t>
                  </w:r>
                  <w: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t>89</w:t>
                  </w:r>
                </w:p>
              </w:tc>
              <w:tc>
                <w:tcPr>
                  <w:tcW w:w="577" w:type="pct"/>
                  <w:tcBorders>
                    <w:tl2br w:val="nil"/>
                    <w:tr2bl w:val="nil"/>
                  </w:tcBorders>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t>3.</w:t>
                  </w: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40</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817"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489"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902" w:type="pct"/>
                  <w:tcBorders>
                    <w:tl2br w:val="nil"/>
                    <w:tr2bl w:val="nil"/>
                  </w:tcBorders>
                  <w:vAlign w:val="center"/>
                </w:tcPr>
                <w:p>
                  <w:pPr>
                    <w:pStyle w:val="69"/>
                    <w:jc w:val="cente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t>排放速率</w:t>
                  </w:r>
                  <w:r>
                    <w:rPr>
                      <w:rFonts w:hint="default" w:ascii="Times New Roman" w:hAnsi="Times New Roman" w:cs="Times New Roman"/>
                      <w:color w:val="000000" w:themeColor="text1"/>
                      <w:sz w:val="18"/>
                      <w:szCs w:val="18"/>
                      <w:highlight w:val="none"/>
                      <w:lang w:eastAsia="zh-CN"/>
                      <w14:textFill>
                        <w14:solidFill>
                          <w14:schemeClr w14:val="tx1"/>
                        </w14:solidFill>
                      </w14:textFill>
                    </w:rPr>
                    <w:t>kg/h</w:t>
                  </w:r>
                </w:p>
              </w:tc>
              <w:tc>
                <w:tcPr>
                  <w:tcW w:w="578" w:type="pct"/>
                  <w:tcBorders>
                    <w:tl2br w:val="nil"/>
                    <w:tr2bl w:val="nil"/>
                  </w:tcBorders>
                  <w:vAlign w:val="center"/>
                </w:tcPr>
                <w:p>
                  <w:pPr>
                    <w:pStyle w:val="69"/>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t>3.1</w:t>
                  </w: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5</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cs="Times New Roman"/>
                      <w:color w:val="000000" w:themeColor="text1"/>
                      <w:sz w:val="18"/>
                      <w:szCs w:val="18"/>
                      <w:highlight w:val="none"/>
                      <w:vertAlign w:val="superscript"/>
                      <w:lang w:val="en-US" w:eastAsia="zh-CN"/>
                      <w14:textFill>
                        <w14:solidFill>
                          <w14:schemeClr w14:val="tx1"/>
                        </w14:solidFill>
                      </w14:textFill>
                    </w:rPr>
                    <w:t>-2</w:t>
                  </w:r>
                </w:p>
              </w:tc>
              <w:tc>
                <w:tcPr>
                  <w:tcW w:w="573" w:type="pct"/>
                  <w:tcBorders>
                    <w:tl2br w:val="nil"/>
                    <w:tr2bl w:val="nil"/>
                  </w:tcBorders>
                  <w:vAlign w:val="center"/>
                </w:tcPr>
                <w:p>
                  <w:pPr>
                    <w:jc w:val="cente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t>3.</w:t>
                  </w: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50</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cs="Times New Roman"/>
                      <w:color w:val="000000" w:themeColor="text1"/>
                      <w:sz w:val="18"/>
                      <w:szCs w:val="18"/>
                      <w:highlight w:val="none"/>
                      <w:vertAlign w:val="superscript"/>
                      <w:lang w:val="en-US" w:eastAsia="zh-CN"/>
                      <w14:textFill>
                        <w14:solidFill>
                          <w14:schemeClr w14:val="tx1"/>
                        </w14:solidFill>
                      </w14:textFill>
                    </w:rPr>
                    <w:t>-2</w:t>
                  </w:r>
                </w:p>
              </w:tc>
              <w:tc>
                <w:tcPr>
                  <w:tcW w:w="577" w:type="pct"/>
                  <w:tcBorders>
                    <w:tl2br w:val="nil"/>
                    <w:tr2bl w:val="nil"/>
                  </w:tcBorders>
                  <w:vAlign w:val="center"/>
                </w:tcPr>
                <w:p>
                  <w:pPr>
                    <w:jc w:val="cente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t>3.2</w:t>
                  </w: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5</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cs="Times New Roman"/>
                      <w:color w:val="000000" w:themeColor="text1"/>
                      <w:sz w:val="18"/>
                      <w:szCs w:val="18"/>
                      <w:highlight w:val="none"/>
                      <w:vertAlign w:val="superscript"/>
                      <w:lang w:val="en-US" w:eastAsia="zh-CN"/>
                      <w14:textFill>
                        <w14:solidFill>
                          <w14:schemeClr w14:val="tx1"/>
                        </w14:solidFill>
                      </w14:textFill>
                    </w:rPr>
                    <w:t>-2</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817"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489" w:type="pct"/>
                  <w:vMerge w:val="restart"/>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lang w:eastAsia="zh-CN"/>
                      <w14:textFill>
                        <w14:solidFill>
                          <w14:schemeClr w14:val="tx1"/>
                        </w14:solidFill>
                      </w14:textFill>
                    </w:rPr>
                    <w:t>硫化氢</w:t>
                  </w:r>
                </w:p>
              </w:tc>
              <w:tc>
                <w:tcPr>
                  <w:tcW w:w="902" w:type="pct"/>
                  <w:tcBorders>
                    <w:tl2br w:val="nil"/>
                    <w:tr2bl w:val="nil"/>
                  </w:tcBorders>
                  <w:vAlign w:val="center"/>
                </w:tcPr>
                <w:p>
                  <w:pPr>
                    <w:pStyle w:val="69"/>
                    <w:jc w:val="cente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pP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实测浓度</w:t>
                  </w:r>
                  <w:r>
                    <w:rPr>
                      <w:rFonts w:hint="default" w:ascii="Times New Roman" w:hAnsi="Times New Roman" w:cs="Times New Roman"/>
                      <w:color w:val="000000" w:themeColor="text1"/>
                      <w:sz w:val="18"/>
                      <w:szCs w:val="18"/>
                      <w:highlight w:val="none"/>
                      <w:lang w:eastAsia="zh-CN"/>
                      <w14:textFill>
                        <w14:solidFill>
                          <w14:schemeClr w14:val="tx1"/>
                        </w14:solidFill>
                      </w14:textFill>
                    </w:rPr>
                    <w:t>mg/m</w:t>
                  </w:r>
                  <w:r>
                    <w:rPr>
                      <w:rFonts w:hint="default" w:ascii="Times New Roman" w:hAnsi="Times New Roman" w:cs="Times New Roman"/>
                      <w:color w:val="000000" w:themeColor="text1"/>
                      <w:sz w:val="18"/>
                      <w:szCs w:val="18"/>
                      <w:highlight w:val="none"/>
                      <w:vertAlign w:val="superscript"/>
                      <w:lang w:eastAsia="zh-CN"/>
                      <w14:textFill>
                        <w14:solidFill>
                          <w14:schemeClr w14:val="tx1"/>
                        </w14:solidFill>
                      </w14:textFill>
                    </w:rPr>
                    <w:t>3</w:t>
                  </w:r>
                </w:p>
              </w:tc>
              <w:tc>
                <w:tcPr>
                  <w:tcW w:w="578" w:type="pct"/>
                  <w:tcBorders>
                    <w:tl2br w:val="nil"/>
                    <w:tr2bl w:val="nil"/>
                  </w:tcBorders>
                  <w:vAlign w:val="center"/>
                </w:tcPr>
                <w:p>
                  <w:pPr>
                    <w:pStyle w:val="69"/>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t>7.</w:t>
                  </w: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66</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cs="Times New Roman"/>
                      <w:color w:val="000000" w:themeColor="text1"/>
                      <w:sz w:val="18"/>
                      <w:szCs w:val="18"/>
                      <w:highlight w:val="none"/>
                      <w:vertAlign w:val="superscript"/>
                      <w:lang w:val="en-US" w:eastAsia="zh-CN"/>
                      <w14:textFill>
                        <w14:solidFill>
                          <w14:schemeClr w14:val="tx1"/>
                        </w14:solidFill>
                      </w14:textFill>
                    </w:rPr>
                    <w:t>-2</w:t>
                  </w:r>
                </w:p>
              </w:tc>
              <w:tc>
                <w:tcPr>
                  <w:tcW w:w="573" w:type="pct"/>
                  <w:tcBorders>
                    <w:tl2br w:val="nil"/>
                    <w:tr2bl w:val="nil"/>
                  </w:tcBorders>
                  <w:vAlign w:val="center"/>
                </w:tcPr>
                <w:p>
                  <w:pPr>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t>7.5</w:t>
                  </w: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1</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cs="Times New Roman"/>
                      <w:color w:val="000000" w:themeColor="text1"/>
                      <w:sz w:val="18"/>
                      <w:szCs w:val="18"/>
                      <w:highlight w:val="none"/>
                      <w:vertAlign w:val="superscript"/>
                      <w:lang w:val="en-US" w:eastAsia="zh-CN"/>
                      <w14:textFill>
                        <w14:solidFill>
                          <w14:schemeClr w14:val="tx1"/>
                        </w14:solidFill>
                      </w14:textFill>
                    </w:rPr>
                    <w:t>-2</w:t>
                  </w:r>
                </w:p>
              </w:tc>
              <w:tc>
                <w:tcPr>
                  <w:tcW w:w="577" w:type="pct"/>
                  <w:tcBorders>
                    <w:tl2br w:val="nil"/>
                    <w:tr2bl w:val="nil"/>
                  </w:tcBorders>
                  <w:vAlign w:val="center"/>
                </w:tcPr>
                <w:p>
                  <w:pPr>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t>7.</w:t>
                  </w: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60</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cs="Times New Roman"/>
                      <w:color w:val="000000" w:themeColor="text1"/>
                      <w:sz w:val="18"/>
                      <w:szCs w:val="18"/>
                      <w:highlight w:val="none"/>
                      <w:vertAlign w:val="superscript"/>
                      <w:lang w:val="en-US" w:eastAsia="zh-CN"/>
                      <w14:textFill>
                        <w14:solidFill>
                          <w14:schemeClr w14:val="tx1"/>
                        </w14:solidFill>
                      </w14:textFill>
                    </w:rPr>
                    <w:t>-2</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817"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489"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902" w:type="pct"/>
                  <w:tcBorders>
                    <w:tl2br w:val="nil"/>
                    <w:tr2bl w:val="nil"/>
                  </w:tcBorders>
                  <w:vAlign w:val="center"/>
                </w:tcPr>
                <w:p>
                  <w:pPr>
                    <w:pStyle w:val="69"/>
                    <w:jc w:val="cente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pPr>
                  <w: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t>排放速率</w:t>
                  </w:r>
                  <w:r>
                    <w:rPr>
                      <w:rFonts w:hint="default" w:ascii="Times New Roman" w:hAnsi="Times New Roman" w:cs="Times New Roman"/>
                      <w:color w:val="000000" w:themeColor="text1"/>
                      <w:sz w:val="18"/>
                      <w:szCs w:val="18"/>
                      <w:highlight w:val="none"/>
                      <w:lang w:eastAsia="zh-CN"/>
                      <w14:textFill>
                        <w14:solidFill>
                          <w14:schemeClr w14:val="tx1"/>
                        </w14:solidFill>
                      </w14:textFill>
                    </w:rPr>
                    <w:t>kg/h</w:t>
                  </w:r>
                </w:p>
              </w:tc>
              <w:tc>
                <w:tcPr>
                  <w:tcW w:w="578" w:type="pct"/>
                  <w:tcBorders>
                    <w:tl2br w:val="nil"/>
                    <w:tr2bl w:val="nil"/>
                  </w:tcBorders>
                  <w:vAlign w:val="center"/>
                </w:tcPr>
                <w:p>
                  <w:pPr>
                    <w:pStyle w:val="69"/>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t>7.</w:t>
                  </w: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33</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cs="Times New Roman"/>
                      <w:color w:val="000000" w:themeColor="text1"/>
                      <w:sz w:val="18"/>
                      <w:szCs w:val="18"/>
                      <w:highlight w:val="none"/>
                      <w:vertAlign w:val="superscript"/>
                      <w:lang w:val="en-US" w:eastAsia="zh-CN"/>
                      <w14:textFill>
                        <w14:solidFill>
                          <w14:schemeClr w14:val="tx1"/>
                        </w14:solidFill>
                      </w14:textFill>
                    </w:rPr>
                    <w:t>-4</w:t>
                  </w:r>
                </w:p>
              </w:tc>
              <w:tc>
                <w:tcPr>
                  <w:tcW w:w="573" w:type="pct"/>
                  <w:tcBorders>
                    <w:tl2br w:val="nil"/>
                    <w:tr2bl w:val="nil"/>
                  </w:tcBorders>
                  <w:vAlign w:val="center"/>
                </w:tcPr>
                <w:p>
                  <w:pPr>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t>7.</w:t>
                  </w: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62</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cs="Times New Roman"/>
                      <w:color w:val="000000" w:themeColor="text1"/>
                      <w:sz w:val="18"/>
                      <w:szCs w:val="18"/>
                      <w:highlight w:val="none"/>
                      <w:vertAlign w:val="superscript"/>
                      <w:lang w:val="en-US" w:eastAsia="zh-CN"/>
                      <w14:textFill>
                        <w14:solidFill>
                          <w14:schemeClr w14:val="tx1"/>
                        </w14:solidFill>
                      </w14:textFill>
                    </w:rPr>
                    <w:t>-4</w:t>
                  </w:r>
                </w:p>
              </w:tc>
              <w:tc>
                <w:tcPr>
                  <w:tcW w:w="577" w:type="pct"/>
                  <w:tcBorders>
                    <w:tl2br w:val="nil"/>
                    <w:tr2bl w:val="nil"/>
                  </w:tcBorders>
                  <w:vAlign w:val="center"/>
                </w:tcPr>
                <w:p>
                  <w:pPr>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t>7.</w:t>
                  </w: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26</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cs="Times New Roman"/>
                      <w:color w:val="000000" w:themeColor="text1"/>
                      <w:sz w:val="18"/>
                      <w:szCs w:val="18"/>
                      <w:highlight w:val="none"/>
                      <w:vertAlign w:val="superscript"/>
                      <w:lang w:val="en-US" w:eastAsia="zh-CN"/>
                      <w14:textFill>
                        <w14:solidFill>
                          <w14:schemeClr w14:val="tx1"/>
                        </w14:solidFill>
                      </w14:textFill>
                    </w:rPr>
                    <w:t>-4</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817"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1391" w:type="pct"/>
                  <w:gridSpan w:val="2"/>
                  <w:tcBorders>
                    <w:tl2br w:val="nil"/>
                    <w:tr2bl w:val="nil"/>
                  </w:tcBorders>
                  <w:vAlign w:val="center"/>
                </w:tcPr>
                <w:p>
                  <w:pPr>
                    <w:pStyle w:val="69"/>
                    <w:jc w:val="cente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pPr>
                  <w: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t>臭气浓度</w:t>
                  </w:r>
                  <w:r>
                    <w:rPr>
                      <w:rFonts w:hint="default" w:ascii="Times New Roman" w:hAnsi="Times New Roman" w:cs="Times New Roman"/>
                      <w:color w:val="000000" w:themeColor="text1"/>
                      <w:spacing w:val="20"/>
                      <w:sz w:val="18"/>
                      <w:szCs w:val="18"/>
                      <w:highlight w:val="none"/>
                      <w:lang w:val="en-US" w:eastAsia="zh-CN"/>
                      <w14:textFill>
                        <w14:solidFill>
                          <w14:schemeClr w14:val="tx1"/>
                        </w14:solidFill>
                      </w14:textFill>
                    </w:rPr>
                    <w:t>*</w:t>
                  </w:r>
                </w:p>
              </w:tc>
              <w:tc>
                <w:tcPr>
                  <w:tcW w:w="578" w:type="pct"/>
                  <w:tcBorders>
                    <w:tl2br w:val="nil"/>
                    <w:tr2bl w:val="nil"/>
                  </w:tcBorders>
                  <w:vAlign w:val="center"/>
                </w:tcPr>
                <w:p>
                  <w:pPr>
                    <w:pStyle w:val="69"/>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412</w:t>
                  </w:r>
                </w:p>
              </w:tc>
              <w:tc>
                <w:tcPr>
                  <w:tcW w:w="573" w:type="pct"/>
                  <w:tcBorders>
                    <w:tl2br w:val="nil"/>
                    <w:tr2bl w:val="nil"/>
                  </w:tcBorders>
                  <w:vAlign w:val="center"/>
                </w:tcPr>
                <w:p>
                  <w:pPr>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733</w:t>
                  </w:r>
                </w:p>
              </w:tc>
              <w:tc>
                <w:tcPr>
                  <w:tcW w:w="577" w:type="pct"/>
                  <w:tcBorders>
                    <w:tl2br w:val="nil"/>
                    <w:tr2bl w:val="nil"/>
                  </w:tcBorders>
                  <w:vAlign w:val="center"/>
                </w:tcPr>
                <w:p>
                  <w:pPr>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t>635</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817" w:type="pct"/>
                  <w:vMerge w:val="restart"/>
                  <w:tcBorders>
                    <w:tl2br w:val="nil"/>
                    <w:tr2bl w:val="nil"/>
                  </w:tcBorders>
                  <w:vAlign w:val="center"/>
                </w:tcPr>
                <w:p>
                  <w:pPr>
                    <w:pStyle w:val="69"/>
                    <w:jc w:val="center"/>
                    <w:rPr>
                      <w:rFonts w:hint="default" w:ascii="Times New Roman" w:hAnsi="Times New Roman" w:cs="Times New Roman"/>
                      <w:color w:val="000000" w:themeColor="text1"/>
                      <w:sz w:val="18"/>
                      <w:szCs w:val="18"/>
                      <w:highlight w:val="none"/>
                      <w:lang w:val="en-US"/>
                      <w14:textFill>
                        <w14:solidFill>
                          <w14:schemeClr w14:val="tx1"/>
                        </w14:solidFill>
                      </w14:textFill>
                    </w:rPr>
                  </w:pPr>
                  <w:r>
                    <w:rPr>
                      <w:rFonts w:hint="eastAsia" w:ascii="Times New Roman" w:hAnsi="Times New Roman" w:cs="Times New Roman"/>
                      <w:color w:val="000000" w:themeColor="text1"/>
                      <w:kern w:val="2"/>
                      <w:sz w:val="18"/>
                      <w:szCs w:val="18"/>
                      <w:highlight w:val="none"/>
                      <w:lang w:eastAsia="zh-CN"/>
                      <w14:textFill>
                        <w14:solidFill>
                          <w14:schemeClr w14:val="tx1"/>
                        </w14:solidFill>
                      </w14:textFill>
                    </w:rPr>
                    <w:t>有组织废气排放口</w:t>
                  </w:r>
                  <w:r>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t>FQ02</w:t>
                  </w:r>
                </w:p>
              </w:tc>
              <w:tc>
                <w:tcPr>
                  <w:tcW w:w="658" w:type="pct"/>
                  <w:vMerge w:val="restart"/>
                  <w:tcBorders>
                    <w:tl2br w:val="nil"/>
                    <w:tr2bl w:val="nil"/>
                  </w:tcBorders>
                  <w:vAlign w:val="center"/>
                </w:tcPr>
                <w:p>
                  <w:pPr>
                    <w:pStyle w:val="69"/>
                    <w:jc w:val="center"/>
                    <w:rPr>
                      <w:rFonts w:hint="default" w:ascii="Times New Roman" w:hAnsi="Times New Roman" w:cs="Times New Roman"/>
                      <w:color w:val="000000" w:themeColor="text1"/>
                      <w:kern w:val="2"/>
                      <w:sz w:val="18"/>
                      <w:szCs w:val="18"/>
                      <w:highlight w:val="none"/>
                      <w:lang w:eastAsia="zh-CN"/>
                      <w14:textFill>
                        <w14:solidFill>
                          <w14:schemeClr w14:val="tx1"/>
                        </w14:solidFill>
                      </w14:textFill>
                    </w:rPr>
                  </w:pPr>
                  <w:r>
                    <w:rPr>
                      <w:rFonts w:hint="default" w:ascii="Times New Roman" w:hAnsi="Times New Roman" w:cs="Times New Roman"/>
                      <w:color w:val="000000" w:themeColor="text1"/>
                      <w:kern w:val="2"/>
                      <w:sz w:val="18"/>
                      <w:szCs w:val="18"/>
                      <w:highlight w:val="none"/>
                      <w:lang w:eastAsia="zh-CN"/>
                      <w14:textFill>
                        <w14:solidFill>
                          <w14:schemeClr w14:val="tx1"/>
                        </w14:solidFill>
                      </w14:textFill>
                    </w:rPr>
                    <w:t>202</w:t>
                  </w:r>
                  <w:r>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t>4</w:t>
                  </w:r>
                  <w:r>
                    <w:rPr>
                      <w:rFonts w:hint="default" w:ascii="Times New Roman" w:hAnsi="Times New Roman" w:cs="Times New Roman"/>
                      <w:color w:val="000000" w:themeColor="text1"/>
                      <w:kern w:val="2"/>
                      <w:sz w:val="18"/>
                      <w:szCs w:val="18"/>
                      <w:highlight w:val="none"/>
                      <w:lang w:eastAsia="zh-CN"/>
                      <w14:textFill>
                        <w14:solidFill>
                          <w14:schemeClr w14:val="tx1"/>
                        </w14:solidFill>
                      </w14:textFill>
                    </w:rPr>
                    <w:t>年</w:t>
                  </w:r>
                </w:p>
                <w:p>
                  <w:pPr>
                    <w:pStyle w:val="69"/>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t>5</w:t>
                  </w:r>
                  <w:r>
                    <w:rPr>
                      <w:rFonts w:hint="default" w:ascii="Times New Roman" w:hAnsi="Times New Roman" w:cs="Times New Roman"/>
                      <w:color w:val="000000" w:themeColor="text1"/>
                      <w:kern w:val="2"/>
                      <w:sz w:val="18"/>
                      <w:szCs w:val="18"/>
                      <w:highlight w:val="none"/>
                      <w:lang w:eastAsia="zh-CN"/>
                      <w14:textFill>
                        <w14:solidFill>
                          <w14:schemeClr w14:val="tx1"/>
                        </w14:solidFill>
                      </w14:textFill>
                    </w:rPr>
                    <w:t>月</w:t>
                  </w:r>
                  <w:r>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t>8</w:t>
                  </w:r>
                  <w:r>
                    <w:rPr>
                      <w:rFonts w:hint="default" w:ascii="Times New Roman" w:hAnsi="Times New Roman" w:cs="Times New Roman"/>
                      <w:color w:val="000000" w:themeColor="text1"/>
                      <w:kern w:val="2"/>
                      <w:sz w:val="18"/>
                      <w:szCs w:val="18"/>
                      <w:highlight w:val="none"/>
                      <w:lang w:eastAsia="zh-CN"/>
                      <w14:textFill>
                        <w14:solidFill>
                          <w14:schemeClr w14:val="tx1"/>
                        </w14:solidFill>
                      </w14:textFill>
                    </w:rPr>
                    <w:t>日</w:t>
                  </w:r>
                </w:p>
              </w:tc>
              <w:tc>
                <w:tcPr>
                  <w:tcW w:w="489" w:type="pct"/>
                  <w:vMerge w:val="restart"/>
                  <w:tcBorders>
                    <w:tl2br w:val="nil"/>
                    <w:tr2bl w:val="nil"/>
                  </w:tcBorders>
                  <w:vAlign w:val="center"/>
                </w:tcPr>
                <w:p>
                  <w:pPr>
                    <w:pStyle w:val="69"/>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pacing w:val="-1"/>
                      <w:kern w:val="0"/>
                      <w:sz w:val="18"/>
                      <w:szCs w:val="18"/>
                      <w:highlight w:val="none"/>
                      <w:lang w:val="en-US" w:eastAsia="zh-CN" w:bidi="ar-SA"/>
                      <w14:textFill>
                        <w14:solidFill>
                          <w14:schemeClr w14:val="tx1"/>
                        </w14:solidFill>
                      </w14:textFill>
                    </w:rPr>
                    <w:t>烟气参数</w:t>
                  </w:r>
                </w:p>
              </w:tc>
              <w:tc>
                <w:tcPr>
                  <w:tcW w:w="902" w:type="pct"/>
                  <w:tcBorders>
                    <w:tl2br w:val="nil"/>
                    <w:tr2bl w:val="nil"/>
                  </w:tcBorders>
                  <w:vAlign w:val="center"/>
                </w:tcPr>
                <w:p>
                  <w:pPr>
                    <w:pStyle w:val="69"/>
                    <w:jc w:val="cente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pP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烟温（℃）</w:t>
                  </w:r>
                </w:p>
              </w:tc>
              <w:tc>
                <w:tcPr>
                  <w:tcW w:w="578" w:type="pct"/>
                  <w:tcBorders>
                    <w:tl2br w:val="nil"/>
                    <w:tr2bl w:val="nil"/>
                  </w:tcBorders>
                  <w:vAlign w:val="center"/>
                </w:tcPr>
                <w:p>
                  <w:pPr>
                    <w:pStyle w:val="69"/>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31</w:t>
                  </w:r>
                </w:p>
              </w:tc>
              <w:tc>
                <w:tcPr>
                  <w:tcW w:w="573" w:type="pct"/>
                  <w:tcBorders>
                    <w:tl2br w:val="nil"/>
                    <w:tr2bl w:val="nil"/>
                  </w:tcBorders>
                  <w:vAlign w:val="center"/>
                </w:tcPr>
                <w:p>
                  <w:pPr>
                    <w:pStyle w:val="69"/>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32</w:t>
                  </w:r>
                </w:p>
              </w:tc>
              <w:tc>
                <w:tcPr>
                  <w:tcW w:w="577" w:type="pct"/>
                  <w:tcBorders>
                    <w:tl2br w:val="nil"/>
                    <w:tr2bl w:val="nil"/>
                  </w:tcBorders>
                  <w:vAlign w:val="center"/>
                </w:tcPr>
                <w:p>
                  <w:pPr>
                    <w:pStyle w:val="69"/>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32</w:t>
                  </w:r>
                </w:p>
              </w:tc>
              <w:tc>
                <w:tcPr>
                  <w:tcW w:w="401" w:type="pct"/>
                  <w:vMerge w:val="restart"/>
                  <w:tcBorders>
                    <w:tl2br w:val="nil"/>
                    <w:tr2bl w:val="nil"/>
                  </w:tcBorders>
                  <w:vAlign w:val="center"/>
                </w:tcPr>
                <w:p>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70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817" w:type="pct"/>
                  <w:vMerge w:val="continue"/>
                  <w:tcBorders>
                    <w:tl2br w:val="nil"/>
                    <w:tr2bl w:val="nil"/>
                  </w:tcBorders>
                  <w:vAlign w:val="center"/>
                </w:tcPr>
                <w:p>
                  <w:pPr>
                    <w:pStyle w:val="69"/>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continue"/>
                  <w:tcBorders>
                    <w:tl2br w:val="nil"/>
                    <w:tr2bl w:val="nil"/>
                  </w:tcBorders>
                  <w:vAlign w:val="center"/>
                </w:tcPr>
                <w:p>
                  <w:pPr>
                    <w:pStyle w:val="69"/>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489" w:type="pct"/>
                  <w:vMerge w:val="continue"/>
                  <w:tcBorders>
                    <w:tl2br w:val="nil"/>
                    <w:tr2bl w:val="nil"/>
                  </w:tcBorders>
                  <w:vAlign w:val="center"/>
                </w:tcPr>
                <w:p>
                  <w:pPr>
                    <w:pStyle w:val="69"/>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902" w:type="pct"/>
                  <w:tcBorders>
                    <w:tl2br w:val="nil"/>
                    <w:tr2bl w:val="nil"/>
                  </w:tcBorders>
                  <w:vAlign w:val="center"/>
                </w:tcPr>
                <w:p>
                  <w:pPr>
                    <w:pStyle w:val="69"/>
                    <w:jc w:val="cente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pPr>
                  <w:r>
                    <w:rPr>
                      <w:rFonts w:hint="eastAsia" w:ascii="Times New Roman" w:hAnsi="Times New Roman" w:cs="Times New Roman"/>
                      <w:color w:val="000000" w:themeColor="text1"/>
                      <w:spacing w:val="-1"/>
                      <w:kern w:val="0"/>
                      <w:sz w:val="18"/>
                      <w:szCs w:val="18"/>
                      <w:highlight w:val="none"/>
                      <w:lang w:val="en-US" w:eastAsia="zh-CN" w:bidi="ar-SA"/>
                      <w14:textFill>
                        <w14:solidFill>
                          <w14:schemeClr w14:val="tx1"/>
                        </w14:solidFill>
                      </w14:textFill>
                    </w:rPr>
                    <w:t>流速（m/s）</w:t>
                  </w:r>
                </w:p>
              </w:tc>
              <w:tc>
                <w:tcPr>
                  <w:tcW w:w="578" w:type="pct"/>
                  <w:tcBorders>
                    <w:tl2br w:val="nil"/>
                    <w:tr2bl w:val="nil"/>
                  </w:tcBorders>
                  <w:vAlign w:val="center"/>
                </w:tcPr>
                <w:p>
                  <w:pPr>
                    <w:pStyle w:val="69"/>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3.2</w:t>
                  </w:r>
                </w:p>
              </w:tc>
              <w:tc>
                <w:tcPr>
                  <w:tcW w:w="573" w:type="pct"/>
                  <w:tcBorders>
                    <w:tl2br w:val="nil"/>
                    <w:tr2bl w:val="nil"/>
                  </w:tcBorders>
                  <w:vAlign w:val="center"/>
                </w:tcPr>
                <w:p>
                  <w:pPr>
                    <w:pStyle w:val="69"/>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3.1</w:t>
                  </w:r>
                </w:p>
              </w:tc>
              <w:tc>
                <w:tcPr>
                  <w:tcW w:w="577" w:type="pct"/>
                  <w:tcBorders>
                    <w:tl2br w:val="nil"/>
                    <w:tr2bl w:val="nil"/>
                  </w:tcBorders>
                  <w:vAlign w:val="center"/>
                </w:tcPr>
                <w:p>
                  <w:pPr>
                    <w:pStyle w:val="69"/>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3.1</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817" w:type="pct"/>
                  <w:vMerge w:val="continue"/>
                  <w:tcBorders>
                    <w:tl2br w:val="nil"/>
                    <w:tr2bl w:val="nil"/>
                  </w:tcBorders>
                  <w:vAlign w:val="center"/>
                </w:tcPr>
                <w:p>
                  <w:pPr>
                    <w:pStyle w:val="69"/>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continue"/>
                  <w:tcBorders>
                    <w:tl2br w:val="nil"/>
                    <w:tr2bl w:val="nil"/>
                  </w:tcBorders>
                  <w:vAlign w:val="center"/>
                </w:tcPr>
                <w:p>
                  <w:pPr>
                    <w:pStyle w:val="69"/>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489" w:type="pct"/>
                  <w:vMerge w:val="continue"/>
                  <w:tcBorders>
                    <w:tl2br w:val="nil"/>
                    <w:tr2bl w:val="nil"/>
                  </w:tcBorders>
                  <w:vAlign w:val="center"/>
                </w:tcPr>
                <w:p>
                  <w:pPr>
                    <w:pStyle w:val="69"/>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902" w:type="pct"/>
                  <w:tcBorders>
                    <w:tl2br w:val="nil"/>
                    <w:tr2bl w:val="nil"/>
                  </w:tcBorders>
                  <w:vAlign w:val="center"/>
                </w:tcPr>
                <w:p>
                  <w:pPr>
                    <w:pStyle w:val="69"/>
                    <w:jc w:val="cente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pP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含湿量（</w:t>
                  </w:r>
                  <w:r>
                    <w:rPr>
                      <w:rFonts w:hint="default" w:ascii="Times New Roman" w:hAnsi="Times New Roman" w:cs="Times New Roman"/>
                      <w:color w:val="000000" w:themeColor="text1"/>
                      <w:spacing w:val="-1"/>
                      <w:sz w:val="18"/>
                      <w:szCs w:val="18"/>
                      <w:highlight w:val="none"/>
                      <w:lang w:val="en-US" w:eastAsia="zh-CN"/>
                      <w14:textFill>
                        <w14:solidFill>
                          <w14:schemeClr w14:val="tx1"/>
                        </w14:solidFill>
                      </w14:textFill>
                    </w:rPr>
                    <w:t>%</w:t>
                  </w: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w:t>
                  </w:r>
                </w:p>
              </w:tc>
              <w:tc>
                <w:tcPr>
                  <w:tcW w:w="578" w:type="pct"/>
                  <w:tcBorders>
                    <w:tl2br w:val="nil"/>
                    <w:tr2bl w:val="nil"/>
                  </w:tcBorders>
                  <w:vAlign w:val="center"/>
                </w:tcPr>
                <w:p>
                  <w:pPr>
                    <w:pStyle w:val="69"/>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4.6</w:t>
                  </w:r>
                </w:p>
              </w:tc>
              <w:tc>
                <w:tcPr>
                  <w:tcW w:w="573" w:type="pct"/>
                  <w:tcBorders>
                    <w:tl2br w:val="nil"/>
                    <w:tr2bl w:val="nil"/>
                  </w:tcBorders>
                  <w:vAlign w:val="center"/>
                </w:tcPr>
                <w:p>
                  <w:pPr>
                    <w:pStyle w:val="69"/>
                    <w:jc w:val="cente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4.5</w:t>
                  </w:r>
                </w:p>
              </w:tc>
              <w:tc>
                <w:tcPr>
                  <w:tcW w:w="577" w:type="pct"/>
                  <w:tcBorders>
                    <w:tl2br w:val="nil"/>
                    <w:tr2bl w:val="nil"/>
                  </w:tcBorders>
                  <w:vAlign w:val="center"/>
                </w:tcPr>
                <w:p>
                  <w:pPr>
                    <w:pStyle w:val="69"/>
                    <w:jc w:val="cente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4.5</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817" w:type="pct"/>
                  <w:vMerge w:val="continue"/>
                  <w:tcBorders>
                    <w:tl2br w:val="nil"/>
                    <w:tr2bl w:val="nil"/>
                  </w:tcBorders>
                  <w:vAlign w:val="center"/>
                </w:tcPr>
                <w:p>
                  <w:pPr>
                    <w:pStyle w:val="69"/>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continue"/>
                  <w:tcBorders>
                    <w:tl2br w:val="nil"/>
                    <w:tr2bl w:val="nil"/>
                  </w:tcBorders>
                  <w:vAlign w:val="center"/>
                </w:tcPr>
                <w:p>
                  <w:pPr>
                    <w:pStyle w:val="69"/>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489" w:type="pct"/>
                  <w:vMerge w:val="continue"/>
                  <w:tcBorders>
                    <w:tl2br w:val="nil"/>
                    <w:tr2bl w:val="nil"/>
                  </w:tcBorders>
                  <w:vAlign w:val="center"/>
                </w:tcPr>
                <w:p>
                  <w:pPr>
                    <w:pStyle w:val="69"/>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902" w:type="pct"/>
                  <w:tcBorders>
                    <w:tl2br w:val="nil"/>
                    <w:tr2bl w:val="nil"/>
                  </w:tcBorders>
                  <w:vAlign w:val="center"/>
                </w:tcPr>
                <w:p>
                  <w:pPr>
                    <w:pStyle w:val="69"/>
                    <w:jc w:val="cente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pP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烟气流量（m</w:t>
                  </w:r>
                  <w:r>
                    <w:rPr>
                      <w:rFonts w:hint="default" w:ascii="Times New Roman" w:hAnsi="Times New Roman" w:cs="Times New Roman"/>
                      <w:color w:val="000000" w:themeColor="text1"/>
                      <w:spacing w:val="-1"/>
                      <w:sz w:val="18"/>
                      <w:szCs w:val="18"/>
                      <w:highlight w:val="none"/>
                      <w:vertAlign w:val="superscript"/>
                      <w:lang w:eastAsia="zh-CN"/>
                      <w14:textFill>
                        <w14:solidFill>
                          <w14:schemeClr w14:val="tx1"/>
                        </w14:solidFill>
                      </w14:textFill>
                    </w:rPr>
                    <w:t>3</w:t>
                  </w: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/h）</w:t>
                  </w:r>
                </w:p>
              </w:tc>
              <w:tc>
                <w:tcPr>
                  <w:tcW w:w="578" w:type="pct"/>
                  <w:tcBorders>
                    <w:tl2br w:val="nil"/>
                    <w:tr2bl w:val="nil"/>
                  </w:tcBorders>
                  <w:vAlign w:val="center"/>
                </w:tcPr>
                <w:p>
                  <w:pPr>
                    <w:pStyle w:val="69"/>
                    <w:jc w:val="cente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1.16</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eastAsia" w:ascii="Times New Roman" w:hAnsi="Times New Roman" w:cs="Times New Roman"/>
                      <w:color w:val="000000" w:themeColor="text1"/>
                      <w:sz w:val="18"/>
                      <w:szCs w:val="18"/>
                      <w:highlight w:val="none"/>
                      <w:vertAlign w:val="superscript"/>
                      <w:lang w:val="en-US" w:eastAsia="zh-CN"/>
                      <w14:textFill>
                        <w14:solidFill>
                          <w14:schemeClr w14:val="tx1"/>
                        </w14:solidFill>
                      </w14:textFill>
                    </w:rPr>
                    <w:t>4</w:t>
                  </w:r>
                </w:p>
              </w:tc>
              <w:tc>
                <w:tcPr>
                  <w:tcW w:w="573" w:type="pct"/>
                  <w:tcBorders>
                    <w:tl2br w:val="nil"/>
                    <w:tr2bl w:val="nil"/>
                  </w:tcBorders>
                  <w:vAlign w:val="center"/>
                </w:tcPr>
                <w:p>
                  <w:pPr>
                    <w:pStyle w:val="69"/>
                    <w:jc w:val="cente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1.12</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eastAsia" w:ascii="Times New Roman" w:hAnsi="Times New Roman" w:cs="Times New Roman"/>
                      <w:color w:val="000000" w:themeColor="text1"/>
                      <w:sz w:val="18"/>
                      <w:szCs w:val="18"/>
                      <w:highlight w:val="none"/>
                      <w:vertAlign w:val="superscript"/>
                      <w:lang w:val="en-US" w:eastAsia="zh-CN"/>
                      <w14:textFill>
                        <w14:solidFill>
                          <w14:schemeClr w14:val="tx1"/>
                        </w14:solidFill>
                      </w14:textFill>
                    </w:rPr>
                    <w:t>4</w:t>
                  </w:r>
                </w:p>
              </w:tc>
              <w:tc>
                <w:tcPr>
                  <w:tcW w:w="577" w:type="pct"/>
                  <w:tcBorders>
                    <w:tl2br w:val="nil"/>
                    <w:tr2bl w:val="nil"/>
                  </w:tcBorders>
                  <w:vAlign w:val="center"/>
                </w:tcPr>
                <w:p>
                  <w:pPr>
                    <w:pStyle w:val="69"/>
                    <w:jc w:val="cente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1.12</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eastAsia" w:ascii="Times New Roman" w:hAnsi="Times New Roman" w:cs="Times New Roman"/>
                      <w:color w:val="000000" w:themeColor="text1"/>
                      <w:sz w:val="18"/>
                      <w:szCs w:val="18"/>
                      <w:highlight w:val="none"/>
                      <w:vertAlign w:val="superscript"/>
                      <w:lang w:val="en-US" w:eastAsia="zh-CN"/>
                      <w14:textFill>
                        <w14:solidFill>
                          <w14:schemeClr w14:val="tx1"/>
                        </w14:solidFill>
                      </w14:textFill>
                    </w:rPr>
                    <w:t>4</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817" w:type="pct"/>
                  <w:vMerge w:val="continue"/>
                  <w:tcBorders>
                    <w:tl2br w:val="nil"/>
                    <w:tr2bl w:val="nil"/>
                  </w:tcBorders>
                  <w:vAlign w:val="center"/>
                </w:tcPr>
                <w:p>
                  <w:pPr>
                    <w:pStyle w:val="69"/>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continue"/>
                  <w:tcBorders>
                    <w:tl2br w:val="nil"/>
                    <w:tr2bl w:val="nil"/>
                  </w:tcBorders>
                  <w:vAlign w:val="center"/>
                </w:tcPr>
                <w:p>
                  <w:pPr>
                    <w:pStyle w:val="69"/>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489" w:type="pct"/>
                  <w:vMerge w:val="continue"/>
                  <w:tcBorders>
                    <w:tl2br w:val="nil"/>
                    <w:tr2bl w:val="nil"/>
                  </w:tcBorders>
                  <w:vAlign w:val="center"/>
                </w:tcPr>
                <w:p>
                  <w:pPr>
                    <w:pStyle w:val="69"/>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902" w:type="pct"/>
                  <w:tcBorders>
                    <w:tl2br w:val="nil"/>
                    <w:tr2bl w:val="nil"/>
                  </w:tcBorders>
                  <w:vAlign w:val="center"/>
                </w:tcPr>
                <w:p>
                  <w:pPr>
                    <w:pStyle w:val="69"/>
                    <w:jc w:val="cente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pP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标干流量（</w:t>
                  </w:r>
                  <w:r>
                    <w:rPr>
                      <w:rFonts w:hint="default" w:ascii="Times New Roman" w:hAnsi="Times New Roman" w:cs="Times New Roman"/>
                      <w:color w:val="000000" w:themeColor="text1"/>
                      <w:spacing w:val="-1"/>
                      <w:sz w:val="18"/>
                      <w:szCs w:val="18"/>
                      <w:highlight w:val="none"/>
                      <w:lang w:val="en-US" w:eastAsia="zh-CN"/>
                      <w14:textFill>
                        <w14:solidFill>
                          <w14:schemeClr w14:val="tx1"/>
                        </w14:solidFill>
                      </w14:textFill>
                    </w:rPr>
                    <w:t>N</w:t>
                  </w: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m</w:t>
                  </w:r>
                  <w:r>
                    <w:rPr>
                      <w:rFonts w:hint="default" w:ascii="Times New Roman" w:hAnsi="Times New Roman" w:cs="Times New Roman"/>
                      <w:color w:val="000000" w:themeColor="text1"/>
                      <w:spacing w:val="-1"/>
                      <w:sz w:val="18"/>
                      <w:szCs w:val="18"/>
                      <w:highlight w:val="none"/>
                      <w:vertAlign w:val="superscript"/>
                      <w:lang w:eastAsia="zh-CN"/>
                      <w14:textFill>
                        <w14:solidFill>
                          <w14:schemeClr w14:val="tx1"/>
                        </w14:solidFill>
                      </w14:textFill>
                    </w:rPr>
                    <w:t>3</w:t>
                  </w: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/h）</w:t>
                  </w:r>
                </w:p>
              </w:tc>
              <w:tc>
                <w:tcPr>
                  <w:tcW w:w="578" w:type="pct"/>
                  <w:tcBorders>
                    <w:tl2br w:val="nil"/>
                    <w:tr2bl w:val="nil"/>
                  </w:tcBorders>
                  <w:vAlign w:val="center"/>
                </w:tcPr>
                <w:p>
                  <w:pPr>
                    <w:pStyle w:val="69"/>
                    <w:jc w:val="cente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9.16</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eastAsia" w:ascii="Times New Roman" w:hAnsi="Times New Roman" w:cs="Times New Roman"/>
                      <w:color w:val="000000" w:themeColor="text1"/>
                      <w:sz w:val="18"/>
                      <w:szCs w:val="18"/>
                      <w:highlight w:val="none"/>
                      <w:vertAlign w:val="superscript"/>
                      <w:lang w:val="en-US" w:eastAsia="zh-CN"/>
                      <w14:textFill>
                        <w14:solidFill>
                          <w14:schemeClr w14:val="tx1"/>
                        </w14:solidFill>
                      </w14:textFill>
                    </w:rPr>
                    <w:t>3</w:t>
                  </w:r>
                </w:p>
              </w:tc>
              <w:tc>
                <w:tcPr>
                  <w:tcW w:w="573" w:type="pct"/>
                  <w:tcBorders>
                    <w:tl2br w:val="nil"/>
                    <w:tr2bl w:val="nil"/>
                  </w:tcBorders>
                  <w:vAlign w:val="center"/>
                </w:tcPr>
                <w:p>
                  <w:pPr>
                    <w:pStyle w:val="69"/>
                    <w:jc w:val="cente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9.50</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eastAsia" w:ascii="Times New Roman" w:hAnsi="Times New Roman" w:cs="Times New Roman"/>
                      <w:color w:val="000000" w:themeColor="text1"/>
                      <w:sz w:val="18"/>
                      <w:szCs w:val="18"/>
                      <w:highlight w:val="none"/>
                      <w:vertAlign w:val="superscript"/>
                      <w:lang w:val="en-US" w:eastAsia="zh-CN"/>
                      <w14:textFill>
                        <w14:solidFill>
                          <w14:schemeClr w14:val="tx1"/>
                        </w14:solidFill>
                      </w14:textFill>
                    </w:rPr>
                    <w:t>3</w:t>
                  </w:r>
                </w:p>
              </w:tc>
              <w:tc>
                <w:tcPr>
                  <w:tcW w:w="577" w:type="pct"/>
                  <w:tcBorders>
                    <w:tl2br w:val="nil"/>
                    <w:tr2bl w:val="nil"/>
                  </w:tcBorders>
                  <w:vAlign w:val="center"/>
                </w:tcPr>
                <w:p>
                  <w:pPr>
                    <w:pStyle w:val="69"/>
                    <w:jc w:val="cente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9.45</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eastAsia" w:ascii="Times New Roman" w:hAnsi="Times New Roman" w:cs="Times New Roman"/>
                      <w:color w:val="000000" w:themeColor="text1"/>
                      <w:sz w:val="18"/>
                      <w:szCs w:val="18"/>
                      <w:highlight w:val="none"/>
                      <w:vertAlign w:val="superscript"/>
                      <w:lang w:val="en-US" w:eastAsia="zh-CN"/>
                      <w14:textFill>
                        <w14:solidFill>
                          <w14:schemeClr w14:val="tx1"/>
                        </w14:solidFill>
                      </w14:textFill>
                    </w:rPr>
                    <w:t>3</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817" w:type="pct"/>
                  <w:vMerge w:val="continue"/>
                  <w:tcBorders>
                    <w:tl2br w:val="nil"/>
                    <w:tr2bl w:val="nil"/>
                  </w:tcBorders>
                  <w:vAlign w:val="center"/>
                </w:tcPr>
                <w:p>
                  <w:pPr>
                    <w:pStyle w:val="69"/>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continue"/>
                  <w:tcBorders>
                    <w:tl2br w:val="nil"/>
                    <w:tr2bl w:val="nil"/>
                  </w:tcBorders>
                  <w:vAlign w:val="center"/>
                </w:tcPr>
                <w:p>
                  <w:pPr>
                    <w:pStyle w:val="69"/>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489" w:type="pct"/>
                  <w:vMerge w:val="restart"/>
                  <w:tcBorders>
                    <w:tl2br w:val="nil"/>
                    <w:tr2bl w:val="nil"/>
                  </w:tcBorders>
                  <w:vAlign w:val="center"/>
                </w:tcPr>
                <w:p>
                  <w:pPr>
                    <w:jc w:val="center"/>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eastAsia" w:cs="Times New Roman"/>
                      <w:color w:val="000000" w:themeColor="text1"/>
                      <w:sz w:val="18"/>
                      <w:szCs w:val="18"/>
                      <w:highlight w:val="none"/>
                      <w:lang w:eastAsia="zh-CN"/>
                      <w14:textFill>
                        <w14:solidFill>
                          <w14:schemeClr w14:val="tx1"/>
                        </w14:solidFill>
                      </w14:textFill>
                    </w:rPr>
                    <w:t>非甲烷总烃</w:t>
                  </w:r>
                </w:p>
              </w:tc>
              <w:tc>
                <w:tcPr>
                  <w:tcW w:w="902" w:type="pct"/>
                  <w:tcBorders>
                    <w:tl2br w:val="nil"/>
                    <w:tr2bl w:val="nil"/>
                  </w:tcBorders>
                  <w:vAlign w:val="center"/>
                </w:tcPr>
                <w:p>
                  <w:pPr>
                    <w:pStyle w:val="69"/>
                    <w:jc w:val="cente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pP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实测浓度</w:t>
                  </w:r>
                  <w:r>
                    <w:rPr>
                      <w:rFonts w:hint="default" w:ascii="Times New Roman" w:hAnsi="Times New Roman" w:cs="Times New Roman"/>
                      <w:color w:val="000000" w:themeColor="text1"/>
                      <w:sz w:val="18"/>
                      <w:szCs w:val="18"/>
                      <w:highlight w:val="none"/>
                      <w:lang w:eastAsia="zh-CN"/>
                      <w14:textFill>
                        <w14:solidFill>
                          <w14:schemeClr w14:val="tx1"/>
                        </w14:solidFill>
                      </w14:textFill>
                    </w:rPr>
                    <w:t>mg/m</w:t>
                  </w:r>
                  <w:r>
                    <w:rPr>
                      <w:rFonts w:hint="default" w:ascii="Times New Roman" w:hAnsi="Times New Roman" w:cs="Times New Roman"/>
                      <w:color w:val="000000" w:themeColor="text1"/>
                      <w:sz w:val="18"/>
                      <w:szCs w:val="18"/>
                      <w:highlight w:val="none"/>
                      <w:vertAlign w:val="superscript"/>
                      <w:lang w:eastAsia="zh-CN"/>
                      <w14:textFill>
                        <w14:solidFill>
                          <w14:schemeClr w14:val="tx1"/>
                        </w14:solidFill>
                      </w14:textFill>
                    </w:rPr>
                    <w:t>3</w:t>
                  </w:r>
                </w:p>
              </w:tc>
              <w:tc>
                <w:tcPr>
                  <w:tcW w:w="578" w:type="pct"/>
                  <w:tcBorders>
                    <w:tl2br w:val="nil"/>
                    <w:tr2bl w:val="nil"/>
                  </w:tcBorders>
                  <w:vAlign w:val="center"/>
                </w:tcPr>
                <w:p>
                  <w:pPr>
                    <w:pStyle w:val="69"/>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8.63</w:t>
                  </w:r>
                </w:p>
              </w:tc>
              <w:tc>
                <w:tcPr>
                  <w:tcW w:w="573" w:type="pct"/>
                  <w:tcBorders>
                    <w:tl2br w:val="nil"/>
                    <w:tr2bl w:val="nil"/>
                  </w:tcBorders>
                  <w:vAlign w:val="center"/>
                </w:tcPr>
                <w:p>
                  <w:pPr>
                    <w:pStyle w:val="69"/>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7.52</w:t>
                  </w:r>
                </w:p>
              </w:tc>
              <w:tc>
                <w:tcPr>
                  <w:tcW w:w="577" w:type="pct"/>
                  <w:tcBorders>
                    <w:tl2br w:val="nil"/>
                    <w:tr2bl w:val="nil"/>
                  </w:tcBorders>
                  <w:vAlign w:val="center"/>
                </w:tcPr>
                <w:p>
                  <w:pPr>
                    <w:pStyle w:val="69"/>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7.70</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817" w:type="pct"/>
                  <w:vMerge w:val="continue"/>
                  <w:tcBorders>
                    <w:tl2br w:val="nil"/>
                    <w:tr2bl w:val="nil"/>
                  </w:tcBorders>
                  <w:vAlign w:val="center"/>
                </w:tcPr>
                <w:p>
                  <w:pPr>
                    <w:ind w:firstLine="360" w:firstLineChars="200"/>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continue"/>
                  <w:tcBorders>
                    <w:tl2br w:val="nil"/>
                    <w:tr2bl w:val="nil"/>
                  </w:tcBorders>
                  <w:vAlign w:val="center"/>
                </w:tcPr>
                <w:p>
                  <w:pPr>
                    <w:ind w:firstLine="360" w:firstLineChars="200"/>
                    <w:rPr>
                      <w:rFonts w:hint="default" w:ascii="Times New Roman" w:hAnsi="Times New Roman" w:cs="Times New Roman"/>
                      <w:color w:val="000000" w:themeColor="text1"/>
                      <w:sz w:val="18"/>
                      <w:szCs w:val="18"/>
                      <w:highlight w:val="none"/>
                      <w14:textFill>
                        <w14:solidFill>
                          <w14:schemeClr w14:val="tx1"/>
                        </w14:solidFill>
                      </w14:textFill>
                    </w:rPr>
                  </w:pPr>
                </w:p>
              </w:tc>
              <w:tc>
                <w:tcPr>
                  <w:tcW w:w="489"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902" w:type="pct"/>
                  <w:tcBorders>
                    <w:tl2br w:val="nil"/>
                    <w:tr2bl w:val="nil"/>
                  </w:tcBorders>
                  <w:vAlign w:val="center"/>
                </w:tcPr>
                <w:p>
                  <w:pPr>
                    <w:pStyle w:val="69"/>
                    <w:jc w:val="cente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pPr>
                  <w: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t>排放速率</w:t>
                  </w:r>
                  <w:r>
                    <w:rPr>
                      <w:rFonts w:hint="default" w:ascii="Times New Roman" w:hAnsi="Times New Roman" w:cs="Times New Roman"/>
                      <w:color w:val="000000" w:themeColor="text1"/>
                      <w:sz w:val="18"/>
                      <w:szCs w:val="18"/>
                      <w:highlight w:val="none"/>
                      <w:lang w:eastAsia="zh-CN"/>
                      <w14:textFill>
                        <w14:solidFill>
                          <w14:schemeClr w14:val="tx1"/>
                        </w14:solidFill>
                      </w14:textFill>
                    </w:rPr>
                    <w:t>kg/h</w:t>
                  </w:r>
                </w:p>
              </w:tc>
              <w:tc>
                <w:tcPr>
                  <w:tcW w:w="578" w:type="pct"/>
                  <w:tcBorders>
                    <w:tl2br w:val="nil"/>
                    <w:tr2bl w:val="nil"/>
                  </w:tcBorders>
                  <w:vAlign w:val="center"/>
                </w:tcPr>
                <w:p>
                  <w:pPr>
                    <w:pStyle w:val="69"/>
                    <w:jc w:val="cente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7.91</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eastAsia" w:ascii="Times New Roman" w:hAnsi="Times New Roman" w:cs="Times New Roman"/>
                      <w:color w:val="000000" w:themeColor="text1"/>
                      <w:sz w:val="18"/>
                      <w:szCs w:val="18"/>
                      <w:highlight w:val="none"/>
                      <w:vertAlign w:val="superscript"/>
                      <w:lang w:val="en-US" w:eastAsia="zh-CN"/>
                      <w14:textFill>
                        <w14:solidFill>
                          <w14:schemeClr w14:val="tx1"/>
                        </w14:solidFill>
                      </w14:textFill>
                    </w:rPr>
                    <w:t>-2</w:t>
                  </w:r>
                </w:p>
              </w:tc>
              <w:tc>
                <w:tcPr>
                  <w:tcW w:w="573" w:type="pct"/>
                  <w:tcBorders>
                    <w:tl2br w:val="nil"/>
                    <w:tr2bl w:val="nil"/>
                  </w:tcBorders>
                  <w:vAlign w:val="center"/>
                </w:tcPr>
                <w:p>
                  <w:pPr>
                    <w:jc w:val="cente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7.14</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eastAsia" w:ascii="Times New Roman" w:hAnsi="Times New Roman" w:cs="Times New Roman"/>
                      <w:color w:val="000000" w:themeColor="text1"/>
                      <w:sz w:val="18"/>
                      <w:szCs w:val="18"/>
                      <w:highlight w:val="none"/>
                      <w:vertAlign w:val="superscript"/>
                      <w:lang w:val="en-US" w:eastAsia="zh-CN"/>
                      <w14:textFill>
                        <w14:solidFill>
                          <w14:schemeClr w14:val="tx1"/>
                        </w14:solidFill>
                      </w14:textFill>
                    </w:rPr>
                    <w:t>-2</w:t>
                  </w:r>
                </w:p>
              </w:tc>
              <w:tc>
                <w:tcPr>
                  <w:tcW w:w="577" w:type="pct"/>
                  <w:tcBorders>
                    <w:tl2br w:val="nil"/>
                    <w:tr2bl w:val="nil"/>
                  </w:tcBorders>
                  <w:vAlign w:val="center"/>
                </w:tcPr>
                <w:p>
                  <w:pPr>
                    <w:jc w:val="cente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7.27</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eastAsia" w:ascii="Times New Roman" w:hAnsi="Times New Roman" w:cs="Times New Roman"/>
                      <w:color w:val="000000" w:themeColor="text1"/>
                      <w:sz w:val="18"/>
                      <w:szCs w:val="18"/>
                      <w:highlight w:val="none"/>
                      <w:vertAlign w:val="superscript"/>
                      <w:lang w:val="en-US" w:eastAsia="zh-CN"/>
                      <w14:textFill>
                        <w14:solidFill>
                          <w14:schemeClr w14:val="tx1"/>
                        </w14:solidFill>
                      </w14:textFill>
                    </w:rPr>
                    <w:t>-2</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817" w:type="pct"/>
                  <w:vMerge w:val="continue"/>
                  <w:tcBorders>
                    <w:tl2br w:val="nil"/>
                    <w:tr2bl w:val="nil"/>
                  </w:tcBorders>
                  <w:vAlign w:val="center"/>
                </w:tcPr>
                <w:p>
                  <w:pPr>
                    <w:ind w:firstLine="360" w:firstLineChars="200"/>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continue"/>
                  <w:tcBorders>
                    <w:tl2br w:val="nil"/>
                    <w:tr2bl w:val="nil"/>
                  </w:tcBorders>
                  <w:vAlign w:val="center"/>
                </w:tcPr>
                <w:p>
                  <w:pPr>
                    <w:ind w:firstLine="360" w:firstLineChars="200"/>
                    <w:rPr>
                      <w:rFonts w:hint="default" w:ascii="Times New Roman" w:hAnsi="Times New Roman" w:cs="Times New Roman"/>
                      <w:color w:val="000000" w:themeColor="text1"/>
                      <w:sz w:val="18"/>
                      <w:szCs w:val="18"/>
                      <w:highlight w:val="none"/>
                      <w14:textFill>
                        <w14:solidFill>
                          <w14:schemeClr w14:val="tx1"/>
                        </w14:solidFill>
                      </w14:textFill>
                    </w:rPr>
                  </w:pPr>
                </w:p>
              </w:tc>
              <w:tc>
                <w:tcPr>
                  <w:tcW w:w="489" w:type="pct"/>
                  <w:vMerge w:val="restart"/>
                  <w:tcBorders>
                    <w:tl2br w:val="nil"/>
                    <w:tr2bl w:val="nil"/>
                  </w:tcBorders>
                  <w:vAlign w:val="center"/>
                </w:tcPr>
                <w:p>
                  <w:pPr>
                    <w:jc w:val="center"/>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eastAsia" w:cs="Times New Roman"/>
                      <w:color w:val="000000" w:themeColor="text1"/>
                      <w:sz w:val="18"/>
                      <w:szCs w:val="18"/>
                      <w:highlight w:val="none"/>
                      <w:lang w:eastAsia="zh-CN"/>
                      <w14:textFill>
                        <w14:solidFill>
                          <w14:schemeClr w14:val="tx1"/>
                        </w14:solidFill>
                      </w14:textFill>
                    </w:rPr>
                    <w:t>苯</w:t>
                  </w:r>
                </w:p>
              </w:tc>
              <w:tc>
                <w:tcPr>
                  <w:tcW w:w="902" w:type="pct"/>
                  <w:tcBorders>
                    <w:tl2br w:val="nil"/>
                    <w:tr2bl w:val="nil"/>
                  </w:tcBorders>
                  <w:vAlign w:val="center"/>
                </w:tcPr>
                <w:p>
                  <w:pPr>
                    <w:pStyle w:val="69"/>
                    <w:jc w:val="cente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pP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实测浓度</w:t>
                  </w:r>
                  <w:r>
                    <w:rPr>
                      <w:rFonts w:hint="default" w:ascii="Times New Roman" w:hAnsi="Times New Roman" w:cs="Times New Roman"/>
                      <w:color w:val="000000" w:themeColor="text1"/>
                      <w:sz w:val="18"/>
                      <w:szCs w:val="18"/>
                      <w:highlight w:val="none"/>
                      <w:lang w:eastAsia="zh-CN"/>
                      <w14:textFill>
                        <w14:solidFill>
                          <w14:schemeClr w14:val="tx1"/>
                        </w14:solidFill>
                      </w14:textFill>
                    </w:rPr>
                    <w:t>mg/m</w:t>
                  </w:r>
                  <w:r>
                    <w:rPr>
                      <w:rFonts w:hint="default" w:ascii="Times New Roman" w:hAnsi="Times New Roman" w:cs="Times New Roman"/>
                      <w:color w:val="000000" w:themeColor="text1"/>
                      <w:sz w:val="18"/>
                      <w:szCs w:val="18"/>
                      <w:highlight w:val="none"/>
                      <w:vertAlign w:val="superscript"/>
                      <w:lang w:eastAsia="zh-CN"/>
                      <w14:textFill>
                        <w14:solidFill>
                          <w14:schemeClr w14:val="tx1"/>
                        </w14:solidFill>
                      </w14:textFill>
                    </w:rPr>
                    <w:t>3</w:t>
                  </w:r>
                </w:p>
              </w:tc>
              <w:tc>
                <w:tcPr>
                  <w:tcW w:w="578" w:type="pct"/>
                  <w:tcBorders>
                    <w:tl2br w:val="nil"/>
                    <w:tr2bl w:val="nil"/>
                  </w:tcBorders>
                  <w:vAlign w:val="center"/>
                </w:tcPr>
                <w:p>
                  <w:pPr>
                    <w:pStyle w:val="69"/>
                    <w:jc w:val="cente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1.79</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eastAsia" w:ascii="Times New Roman" w:hAnsi="Times New Roman" w:cs="Times New Roman"/>
                      <w:color w:val="000000" w:themeColor="text1"/>
                      <w:sz w:val="18"/>
                      <w:szCs w:val="18"/>
                      <w:highlight w:val="none"/>
                      <w:vertAlign w:val="superscript"/>
                      <w:lang w:val="en-US" w:eastAsia="zh-CN"/>
                      <w14:textFill>
                        <w14:solidFill>
                          <w14:schemeClr w14:val="tx1"/>
                        </w14:solidFill>
                      </w14:textFill>
                    </w:rPr>
                    <w:t>-2</w:t>
                  </w:r>
                </w:p>
              </w:tc>
              <w:tc>
                <w:tcPr>
                  <w:tcW w:w="573" w:type="pct"/>
                  <w:tcBorders>
                    <w:tl2br w:val="nil"/>
                    <w:tr2bl w:val="nil"/>
                  </w:tcBorders>
                  <w:vAlign w:val="center"/>
                </w:tcPr>
                <w:p>
                  <w:pPr>
                    <w:jc w:val="cente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1.74</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eastAsia" w:ascii="Times New Roman" w:hAnsi="Times New Roman" w:cs="Times New Roman"/>
                      <w:color w:val="000000" w:themeColor="text1"/>
                      <w:sz w:val="18"/>
                      <w:szCs w:val="18"/>
                      <w:highlight w:val="none"/>
                      <w:vertAlign w:val="superscript"/>
                      <w:lang w:val="en-US" w:eastAsia="zh-CN"/>
                      <w14:textFill>
                        <w14:solidFill>
                          <w14:schemeClr w14:val="tx1"/>
                        </w14:solidFill>
                      </w14:textFill>
                    </w:rPr>
                    <w:t>-2</w:t>
                  </w:r>
                </w:p>
              </w:tc>
              <w:tc>
                <w:tcPr>
                  <w:tcW w:w="577" w:type="pct"/>
                  <w:tcBorders>
                    <w:tl2br w:val="nil"/>
                    <w:tr2bl w:val="nil"/>
                  </w:tcBorders>
                  <w:vAlign w:val="center"/>
                </w:tcPr>
                <w:p>
                  <w:pPr>
                    <w:jc w:val="cente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1.33</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eastAsia" w:ascii="Times New Roman" w:hAnsi="Times New Roman" w:cs="Times New Roman"/>
                      <w:color w:val="000000" w:themeColor="text1"/>
                      <w:sz w:val="18"/>
                      <w:szCs w:val="18"/>
                      <w:highlight w:val="none"/>
                      <w:vertAlign w:val="superscript"/>
                      <w:lang w:val="en-US" w:eastAsia="zh-CN"/>
                      <w14:textFill>
                        <w14:solidFill>
                          <w14:schemeClr w14:val="tx1"/>
                        </w14:solidFill>
                      </w14:textFill>
                    </w:rPr>
                    <w:t>-2</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817" w:type="pct"/>
                  <w:vMerge w:val="continue"/>
                  <w:tcBorders>
                    <w:tl2br w:val="nil"/>
                    <w:tr2bl w:val="nil"/>
                  </w:tcBorders>
                  <w:vAlign w:val="center"/>
                </w:tcPr>
                <w:p>
                  <w:pPr>
                    <w:ind w:firstLine="360" w:firstLineChars="200"/>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continue"/>
                  <w:tcBorders>
                    <w:tl2br w:val="nil"/>
                    <w:tr2bl w:val="nil"/>
                  </w:tcBorders>
                  <w:vAlign w:val="center"/>
                </w:tcPr>
                <w:p>
                  <w:pPr>
                    <w:ind w:firstLine="360" w:firstLineChars="200"/>
                    <w:rPr>
                      <w:rFonts w:hint="default" w:ascii="Times New Roman" w:hAnsi="Times New Roman" w:cs="Times New Roman"/>
                      <w:color w:val="000000" w:themeColor="text1"/>
                      <w:sz w:val="18"/>
                      <w:szCs w:val="18"/>
                      <w:highlight w:val="none"/>
                      <w14:textFill>
                        <w14:solidFill>
                          <w14:schemeClr w14:val="tx1"/>
                        </w14:solidFill>
                      </w14:textFill>
                    </w:rPr>
                  </w:pPr>
                </w:p>
              </w:tc>
              <w:tc>
                <w:tcPr>
                  <w:tcW w:w="489"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902" w:type="pct"/>
                  <w:tcBorders>
                    <w:tl2br w:val="nil"/>
                    <w:tr2bl w:val="nil"/>
                  </w:tcBorders>
                  <w:vAlign w:val="center"/>
                </w:tcPr>
                <w:p>
                  <w:pPr>
                    <w:pStyle w:val="69"/>
                    <w:jc w:val="cente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pPr>
                  <w: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t>排放速率</w:t>
                  </w:r>
                  <w:r>
                    <w:rPr>
                      <w:rFonts w:hint="default" w:ascii="Times New Roman" w:hAnsi="Times New Roman" w:cs="Times New Roman"/>
                      <w:color w:val="000000" w:themeColor="text1"/>
                      <w:sz w:val="18"/>
                      <w:szCs w:val="18"/>
                      <w:highlight w:val="none"/>
                      <w:lang w:eastAsia="zh-CN"/>
                      <w14:textFill>
                        <w14:solidFill>
                          <w14:schemeClr w14:val="tx1"/>
                        </w14:solidFill>
                      </w14:textFill>
                    </w:rPr>
                    <w:t>kg/h</w:t>
                  </w:r>
                </w:p>
              </w:tc>
              <w:tc>
                <w:tcPr>
                  <w:tcW w:w="578" w:type="pct"/>
                  <w:tcBorders>
                    <w:tl2br w:val="nil"/>
                    <w:tr2bl w:val="nil"/>
                  </w:tcBorders>
                  <w:vAlign w:val="center"/>
                </w:tcPr>
                <w:p>
                  <w:pPr>
                    <w:pStyle w:val="69"/>
                    <w:jc w:val="cente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1.64</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eastAsia" w:ascii="Times New Roman" w:hAnsi="Times New Roman" w:cs="Times New Roman"/>
                      <w:color w:val="000000" w:themeColor="text1"/>
                      <w:sz w:val="18"/>
                      <w:szCs w:val="18"/>
                      <w:highlight w:val="none"/>
                      <w:vertAlign w:val="superscript"/>
                      <w:lang w:val="en-US" w:eastAsia="zh-CN"/>
                      <w14:textFill>
                        <w14:solidFill>
                          <w14:schemeClr w14:val="tx1"/>
                        </w14:solidFill>
                      </w14:textFill>
                    </w:rPr>
                    <w:t>-4</w:t>
                  </w:r>
                </w:p>
              </w:tc>
              <w:tc>
                <w:tcPr>
                  <w:tcW w:w="573" w:type="pct"/>
                  <w:tcBorders>
                    <w:tl2br w:val="nil"/>
                    <w:tr2bl w:val="nil"/>
                  </w:tcBorders>
                  <w:vAlign w:val="center"/>
                </w:tcPr>
                <w:p>
                  <w:pPr>
                    <w:jc w:val="cente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1.65</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eastAsia" w:ascii="Times New Roman" w:hAnsi="Times New Roman" w:cs="Times New Roman"/>
                      <w:color w:val="000000" w:themeColor="text1"/>
                      <w:sz w:val="18"/>
                      <w:szCs w:val="18"/>
                      <w:highlight w:val="none"/>
                      <w:vertAlign w:val="superscript"/>
                      <w:lang w:val="en-US" w:eastAsia="zh-CN"/>
                      <w14:textFill>
                        <w14:solidFill>
                          <w14:schemeClr w14:val="tx1"/>
                        </w14:solidFill>
                      </w14:textFill>
                    </w:rPr>
                    <w:t>-</w:t>
                  </w:r>
                  <w:r>
                    <w:rPr>
                      <w:rFonts w:hint="eastAsia" w:cs="Times New Roman"/>
                      <w:color w:val="000000" w:themeColor="text1"/>
                      <w:sz w:val="18"/>
                      <w:szCs w:val="18"/>
                      <w:highlight w:val="none"/>
                      <w:vertAlign w:val="superscript"/>
                      <w:lang w:val="en-US" w:eastAsia="zh-CN"/>
                      <w14:textFill>
                        <w14:solidFill>
                          <w14:schemeClr w14:val="tx1"/>
                        </w14:solidFill>
                      </w14:textFill>
                    </w:rPr>
                    <w:t>4</w:t>
                  </w:r>
                </w:p>
              </w:tc>
              <w:tc>
                <w:tcPr>
                  <w:tcW w:w="577" w:type="pct"/>
                  <w:tcBorders>
                    <w:tl2br w:val="nil"/>
                    <w:tr2bl w:val="nil"/>
                  </w:tcBorders>
                  <w:vAlign w:val="center"/>
                </w:tcPr>
                <w:p>
                  <w:pPr>
                    <w:jc w:val="cente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1.26</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eastAsia" w:ascii="Times New Roman" w:hAnsi="Times New Roman" w:cs="Times New Roman"/>
                      <w:color w:val="000000" w:themeColor="text1"/>
                      <w:sz w:val="18"/>
                      <w:szCs w:val="18"/>
                      <w:highlight w:val="none"/>
                      <w:vertAlign w:val="superscript"/>
                      <w:lang w:val="en-US" w:eastAsia="zh-CN"/>
                      <w14:textFill>
                        <w14:solidFill>
                          <w14:schemeClr w14:val="tx1"/>
                        </w14:solidFill>
                      </w14:textFill>
                    </w:rPr>
                    <w:t>-</w:t>
                  </w:r>
                  <w:r>
                    <w:rPr>
                      <w:rFonts w:hint="eastAsia" w:cs="Times New Roman"/>
                      <w:color w:val="000000" w:themeColor="text1"/>
                      <w:sz w:val="18"/>
                      <w:szCs w:val="18"/>
                      <w:highlight w:val="none"/>
                      <w:vertAlign w:val="superscript"/>
                      <w:lang w:val="en-US" w:eastAsia="zh-CN"/>
                      <w14:textFill>
                        <w14:solidFill>
                          <w14:schemeClr w14:val="tx1"/>
                        </w14:solidFill>
                      </w14:textFill>
                    </w:rPr>
                    <w:t>4</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817" w:type="pct"/>
                  <w:vMerge w:val="continue"/>
                  <w:tcBorders>
                    <w:tl2br w:val="nil"/>
                    <w:tr2bl w:val="nil"/>
                  </w:tcBorders>
                  <w:vAlign w:val="center"/>
                </w:tcPr>
                <w:p>
                  <w:pPr>
                    <w:ind w:firstLine="360" w:firstLineChars="200"/>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continue"/>
                  <w:tcBorders>
                    <w:tl2br w:val="nil"/>
                    <w:tr2bl w:val="nil"/>
                  </w:tcBorders>
                  <w:vAlign w:val="center"/>
                </w:tcPr>
                <w:p>
                  <w:pPr>
                    <w:ind w:firstLine="360" w:firstLineChars="200"/>
                    <w:rPr>
                      <w:rFonts w:hint="default" w:ascii="Times New Roman" w:hAnsi="Times New Roman" w:cs="Times New Roman"/>
                      <w:color w:val="000000" w:themeColor="text1"/>
                      <w:sz w:val="18"/>
                      <w:szCs w:val="18"/>
                      <w:highlight w:val="none"/>
                      <w14:textFill>
                        <w14:solidFill>
                          <w14:schemeClr w14:val="tx1"/>
                        </w14:solidFill>
                      </w14:textFill>
                    </w:rPr>
                  </w:pPr>
                </w:p>
              </w:tc>
              <w:tc>
                <w:tcPr>
                  <w:tcW w:w="489" w:type="pct"/>
                  <w:vMerge w:val="restart"/>
                  <w:tcBorders>
                    <w:tl2br w:val="nil"/>
                    <w:tr2bl w:val="nil"/>
                  </w:tcBorders>
                  <w:vAlign w:val="center"/>
                </w:tcPr>
                <w:p>
                  <w:pPr>
                    <w:jc w:val="center"/>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eastAsia" w:cs="Times New Roman"/>
                      <w:color w:val="000000" w:themeColor="text1"/>
                      <w:sz w:val="18"/>
                      <w:szCs w:val="18"/>
                      <w:highlight w:val="none"/>
                      <w:lang w:eastAsia="zh-CN"/>
                      <w14:textFill>
                        <w14:solidFill>
                          <w14:schemeClr w14:val="tx1"/>
                        </w14:solidFill>
                      </w14:textFill>
                    </w:rPr>
                    <w:t>甲醇</w:t>
                  </w:r>
                </w:p>
              </w:tc>
              <w:tc>
                <w:tcPr>
                  <w:tcW w:w="902" w:type="pct"/>
                  <w:tcBorders>
                    <w:tl2br w:val="nil"/>
                    <w:tr2bl w:val="nil"/>
                  </w:tcBorders>
                  <w:vAlign w:val="center"/>
                </w:tcPr>
                <w:p>
                  <w:pPr>
                    <w:pStyle w:val="69"/>
                    <w:jc w:val="cente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pP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实测浓度</w:t>
                  </w:r>
                  <w:r>
                    <w:rPr>
                      <w:rFonts w:hint="default" w:ascii="Times New Roman" w:hAnsi="Times New Roman" w:cs="Times New Roman"/>
                      <w:color w:val="000000" w:themeColor="text1"/>
                      <w:sz w:val="18"/>
                      <w:szCs w:val="18"/>
                      <w:highlight w:val="none"/>
                      <w:lang w:eastAsia="zh-CN"/>
                      <w14:textFill>
                        <w14:solidFill>
                          <w14:schemeClr w14:val="tx1"/>
                        </w14:solidFill>
                      </w14:textFill>
                    </w:rPr>
                    <w:t>mg/m</w:t>
                  </w:r>
                  <w:r>
                    <w:rPr>
                      <w:rFonts w:hint="default" w:ascii="Times New Roman" w:hAnsi="Times New Roman" w:cs="Times New Roman"/>
                      <w:color w:val="000000" w:themeColor="text1"/>
                      <w:sz w:val="18"/>
                      <w:szCs w:val="18"/>
                      <w:highlight w:val="none"/>
                      <w:vertAlign w:val="superscript"/>
                      <w:lang w:eastAsia="zh-CN"/>
                      <w14:textFill>
                        <w14:solidFill>
                          <w14:schemeClr w14:val="tx1"/>
                        </w14:solidFill>
                      </w14:textFill>
                    </w:rPr>
                    <w:t>3</w:t>
                  </w:r>
                </w:p>
              </w:tc>
              <w:tc>
                <w:tcPr>
                  <w:tcW w:w="578" w:type="pct"/>
                  <w:tcBorders>
                    <w:tl2br w:val="nil"/>
                    <w:tr2bl w:val="nil"/>
                  </w:tcBorders>
                  <w:vAlign w:val="center"/>
                </w:tcPr>
                <w:p>
                  <w:pPr>
                    <w:pStyle w:val="69"/>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7.73</w:t>
                  </w:r>
                </w:p>
              </w:tc>
              <w:tc>
                <w:tcPr>
                  <w:tcW w:w="573" w:type="pct"/>
                  <w:tcBorders>
                    <w:tl2br w:val="nil"/>
                    <w:tr2bl w:val="nil"/>
                  </w:tcBorders>
                  <w:vAlign w:val="center"/>
                </w:tcPr>
                <w:p>
                  <w:pPr>
                    <w:jc w:val="center"/>
                    <w:rPr>
                      <w:rFonts w:hint="default"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7.38</w:t>
                  </w:r>
                </w:p>
              </w:tc>
              <w:tc>
                <w:tcPr>
                  <w:tcW w:w="577" w:type="pct"/>
                  <w:tcBorders>
                    <w:tl2br w:val="nil"/>
                    <w:tr2bl w:val="nil"/>
                  </w:tcBorders>
                  <w:vAlign w:val="center"/>
                </w:tcPr>
                <w:p>
                  <w:pPr>
                    <w:jc w:val="center"/>
                    <w:rPr>
                      <w:rFonts w:hint="default"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8.10</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817" w:type="pct"/>
                  <w:vMerge w:val="continue"/>
                  <w:tcBorders>
                    <w:tl2br w:val="nil"/>
                    <w:tr2bl w:val="nil"/>
                  </w:tcBorders>
                  <w:vAlign w:val="center"/>
                </w:tcPr>
                <w:p>
                  <w:pPr>
                    <w:ind w:firstLine="360" w:firstLineChars="200"/>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continue"/>
                  <w:tcBorders>
                    <w:tl2br w:val="nil"/>
                    <w:tr2bl w:val="nil"/>
                  </w:tcBorders>
                  <w:vAlign w:val="center"/>
                </w:tcPr>
                <w:p>
                  <w:pPr>
                    <w:ind w:firstLine="360" w:firstLineChars="200"/>
                    <w:rPr>
                      <w:rFonts w:hint="default" w:ascii="Times New Roman" w:hAnsi="Times New Roman" w:cs="Times New Roman"/>
                      <w:color w:val="000000" w:themeColor="text1"/>
                      <w:sz w:val="18"/>
                      <w:szCs w:val="18"/>
                      <w:highlight w:val="none"/>
                      <w14:textFill>
                        <w14:solidFill>
                          <w14:schemeClr w14:val="tx1"/>
                        </w14:solidFill>
                      </w14:textFill>
                    </w:rPr>
                  </w:pPr>
                </w:p>
              </w:tc>
              <w:tc>
                <w:tcPr>
                  <w:tcW w:w="489"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902" w:type="pct"/>
                  <w:tcBorders>
                    <w:tl2br w:val="nil"/>
                    <w:tr2bl w:val="nil"/>
                  </w:tcBorders>
                  <w:vAlign w:val="center"/>
                </w:tcPr>
                <w:p>
                  <w:pPr>
                    <w:pStyle w:val="69"/>
                    <w:jc w:val="cente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pPr>
                  <w: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t>排放速率</w:t>
                  </w:r>
                  <w:r>
                    <w:rPr>
                      <w:rFonts w:hint="default" w:ascii="Times New Roman" w:hAnsi="Times New Roman" w:cs="Times New Roman"/>
                      <w:color w:val="000000" w:themeColor="text1"/>
                      <w:sz w:val="18"/>
                      <w:szCs w:val="18"/>
                      <w:highlight w:val="none"/>
                      <w:lang w:eastAsia="zh-CN"/>
                      <w14:textFill>
                        <w14:solidFill>
                          <w14:schemeClr w14:val="tx1"/>
                        </w14:solidFill>
                      </w14:textFill>
                    </w:rPr>
                    <w:t>kg/h</w:t>
                  </w:r>
                </w:p>
              </w:tc>
              <w:tc>
                <w:tcPr>
                  <w:tcW w:w="578" w:type="pct"/>
                  <w:tcBorders>
                    <w:tl2br w:val="nil"/>
                    <w:tr2bl w:val="nil"/>
                  </w:tcBorders>
                  <w:vAlign w:val="center"/>
                </w:tcPr>
                <w:p>
                  <w:pPr>
                    <w:pStyle w:val="69"/>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7.08</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eastAsia" w:ascii="Times New Roman" w:hAnsi="Times New Roman" w:cs="Times New Roman"/>
                      <w:color w:val="000000" w:themeColor="text1"/>
                      <w:sz w:val="18"/>
                      <w:szCs w:val="18"/>
                      <w:highlight w:val="none"/>
                      <w:vertAlign w:val="superscript"/>
                      <w:lang w:val="en-US" w:eastAsia="zh-CN"/>
                      <w14:textFill>
                        <w14:solidFill>
                          <w14:schemeClr w14:val="tx1"/>
                        </w14:solidFill>
                      </w14:textFill>
                    </w:rPr>
                    <w:t>-2</w:t>
                  </w:r>
                </w:p>
              </w:tc>
              <w:tc>
                <w:tcPr>
                  <w:tcW w:w="573" w:type="pct"/>
                  <w:tcBorders>
                    <w:tl2br w:val="nil"/>
                    <w:tr2bl w:val="nil"/>
                  </w:tcBorders>
                  <w:vAlign w:val="center"/>
                </w:tcPr>
                <w:p>
                  <w:pPr>
                    <w:jc w:val="center"/>
                    <w:rPr>
                      <w:rFonts w:hint="default"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7.96</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eastAsia" w:ascii="Times New Roman" w:hAnsi="Times New Roman" w:cs="Times New Roman"/>
                      <w:color w:val="000000" w:themeColor="text1"/>
                      <w:sz w:val="18"/>
                      <w:szCs w:val="18"/>
                      <w:highlight w:val="none"/>
                      <w:vertAlign w:val="superscript"/>
                      <w:lang w:val="en-US" w:eastAsia="zh-CN"/>
                      <w14:textFill>
                        <w14:solidFill>
                          <w14:schemeClr w14:val="tx1"/>
                        </w14:solidFill>
                      </w14:textFill>
                    </w:rPr>
                    <w:t>-2</w:t>
                  </w:r>
                </w:p>
              </w:tc>
              <w:tc>
                <w:tcPr>
                  <w:tcW w:w="577" w:type="pct"/>
                  <w:tcBorders>
                    <w:tl2br w:val="nil"/>
                    <w:tr2bl w:val="nil"/>
                  </w:tcBorders>
                  <w:vAlign w:val="center"/>
                </w:tcPr>
                <w:p>
                  <w:pPr>
                    <w:jc w:val="center"/>
                    <w:rPr>
                      <w:rFonts w:hint="default"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7.65</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eastAsia" w:ascii="Times New Roman" w:hAnsi="Times New Roman" w:cs="Times New Roman"/>
                      <w:color w:val="000000" w:themeColor="text1"/>
                      <w:sz w:val="18"/>
                      <w:szCs w:val="18"/>
                      <w:highlight w:val="none"/>
                      <w:vertAlign w:val="superscript"/>
                      <w:lang w:val="en-US" w:eastAsia="zh-CN"/>
                      <w14:textFill>
                        <w14:solidFill>
                          <w14:schemeClr w14:val="tx1"/>
                        </w14:solidFill>
                      </w14:textFill>
                    </w:rPr>
                    <w:t>-2</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817" w:type="pct"/>
                  <w:vMerge w:val="continue"/>
                  <w:tcBorders>
                    <w:tl2br w:val="nil"/>
                    <w:tr2bl w:val="nil"/>
                  </w:tcBorders>
                  <w:vAlign w:val="center"/>
                </w:tcPr>
                <w:p>
                  <w:pPr>
                    <w:ind w:firstLine="360" w:firstLineChars="200"/>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continue"/>
                  <w:tcBorders>
                    <w:tl2br w:val="nil"/>
                    <w:tr2bl w:val="nil"/>
                  </w:tcBorders>
                  <w:vAlign w:val="center"/>
                </w:tcPr>
                <w:p>
                  <w:pPr>
                    <w:ind w:firstLine="360" w:firstLineChars="200"/>
                    <w:rPr>
                      <w:rFonts w:hint="default" w:ascii="Times New Roman" w:hAnsi="Times New Roman" w:cs="Times New Roman"/>
                      <w:color w:val="000000" w:themeColor="text1"/>
                      <w:sz w:val="18"/>
                      <w:szCs w:val="18"/>
                      <w:highlight w:val="none"/>
                      <w14:textFill>
                        <w14:solidFill>
                          <w14:schemeClr w14:val="tx1"/>
                        </w14:solidFill>
                      </w14:textFill>
                    </w:rPr>
                  </w:pPr>
                </w:p>
              </w:tc>
              <w:tc>
                <w:tcPr>
                  <w:tcW w:w="489" w:type="pct"/>
                  <w:vMerge w:val="restart"/>
                  <w:tcBorders>
                    <w:tl2br w:val="nil"/>
                    <w:tr2bl w:val="nil"/>
                  </w:tcBorders>
                  <w:vAlign w:val="center"/>
                </w:tcPr>
                <w:p>
                  <w:pPr>
                    <w:jc w:val="center"/>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eastAsia" w:cs="Times New Roman"/>
                      <w:color w:val="000000" w:themeColor="text1"/>
                      <w:sz w:val="18"/>
                      <w:szCs w:val="18"/>
                      <w:highlight w:val="none"/>
                      <w:lang w:eastAsia="zh-CN"/>
                      <w14:textFill>
                        <w14:solidFill>
                          <w14:schemeClr w14:val="tx1"/>
                        </w14:solidFill>
                      </w14:textFill>
                    </w:rPr>
                    <w:t>硫酸雾</w:t>
                  </w:r>
                </w:p>
              </w:tc>
              <w:tc>
                <w:tcPr>
                  <w:tcW w:w="902" w:type="pct"/>
                  <w:tcBorders>
                    <w:tl2br w:val="nil"/>
                    <w:tr2bl w:val="nil"/>
                  </w:tcBorders>
                  <w:vAlign w:val="center"/>
                </w:tcPr>
                <w:p>
                  <w:pPr>
                    <w:pStyle w:val="69"/>
                    <w:jc w:val="cente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pP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实测浓度</w:t>
                  </w:r>
                  <w:r>
                    <w:rPr>
                      <w:rFonts w:hint="default" w:ascii="Times New Roman" w:hAnsi="Times New Roman" w:cs="Times New Roman"/>
                      <w:color w:val="000000" w:themeColor="text1"/>
                      <w:sz w:val="18"/>
                      <w:szCs w:val="18"/>
                      <w:highlight w:val="none"/>
                      <w:lang w:eastAsia="zh-CN"/>
                      <w14:textFill>
                        <w14:solidFill>
                          <w14:schemeClr w14:val="tx1"/>
                        </w14:solidFill>
                      </w14:textFill>
                    </w:rPr>
                    <w:t>mg/m</w:t>
                  </w:r>
                  <w:r>
                    <w:rPr>
                      <w:rFonts w:hint="default" w:ascii="Times New Roman" w:hAnsi="Times New Roman" w:cs="Times New Roman"/>
                      <w:color w:val="000000" w:themeColor="text1"/>
                      <w:sz w:val="18"/>
                      <w:szCs w:val="18"/>
                      <w:highlight w:val="none"/>
                      <w:vertAlign w:val="superscript"/>
                      <w:lang w:eastAsia="zh-CN"/>
                      <w14:textFill>
                        <w14:solidFill>
                          <w14:schemeClr w14:val="tx1"/>
                        </w14:solidFill>
                      </w14:textFill>
                    </w:rPr>
                    <w:t>3</w:t>
                  </w:r>
                </w:p>
              </w:tc>
              <w:tc>
                <w:tcPr>
                  <w:tcW w:w="578" w:type="pct"/>
                  <w:tcBorders>
                    <w:tl2br w:val="nil"/>
                    <w:tr2bl w:val="nil"/>
                  </w:tcBorders>
                  <w:vAlign w:val="center"/>
                </w:tcPr>
                <w:p>
                  <w:pPr>
                    <w:pStyle w:val="69"/>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19.6</w:t>
                  </w:r>
                </w:p>
              </w:tc>
              <w:tc>
                <w:tcPr>
                  <w:tcW w:w="573" w:type="pct"/>
                  <w:tcBorders>
                    <w:tl2br w:val="nil"/>
                    <w:tr2bl w:val="nil"/>
                  </w:tcBorders>
                  <w:vAlign w:val="center"/>
                </w:tcPr>
                <w:p>
                  <w:pPr>
                    <w:jc w:val="center"/>
                    <w:rPr>
                      <w:rFonts w:hint="default"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18.0</w:t>
                  </w:r>
                </w:p>
              </w:tc>
              <w:tc>
                <w:tcPr>
                  <w:tcW w:w="577" w:type="pct"/>
                  <w:tcBorders>
                    <w:tl2br w:val="nil"/>
                    <w:tr2bl w:val="nil"/>
                  </w:tcBorders>
                  <w:vAlign w:val="center"/>
                </w:tcPr>
                <w:p>
                  <w:pPr>
                    <w:jc w:val="center"/>
                    <w:rPr>
                      <w:rFonts w:hint="default"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17.2</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817" w:type="pct"/>
                  <w:vMerge w:val="continue"/>
                  <w:tcBorders>
                    <w:tl2br w:val="nil"/>
                    <w:tr2bl w:val="nil"/>
                  </w:tcBorders>
                  <w:vAlign w:val="center"/>
                </w:tcPr>
                <w:p>
                  <w:pPr>
                    <w:ind w:firstLine="360" w:firstLineChars="200"/>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continue"/>
                  <w:tcBorders>
                    <w:tl2br w:val="nil"/>
                    <w:tr2bl w:val="nil"/>
                  </w:tcBorders>
                  <w:vAlign w:val="center"/>
                </w:tcPr>
                <w:p>
                  <w:pPr>
                    <w:ind w:firstLine="360" w:firstLineChars="200"/>
                    <w:rPr>
                      <w:rFonts w:hint="default" w:ascii="Times New Roman" w:hAnsi="Times New Roman" w:cs="Times New Roman"/>
                      <w:color w:val="000000" w:themeColor="text1"/>
                      <w:sz w:val="18"/>
                      <w:szCs w:val="18"/>
                      <w:highlight w:val="none"/>
                      <w14:textFill>
                        <w14:solidFill>
                          <w14:schemeClr w14:val="tx1"/>
                        </w14:solidFill>
                      </w14:textFill>
                    </w:rPr>
                  </w:pPr>
                </w:p>
              </w:tc>
              <w:tc>
                <w:tcPr>
                  <w:tcW w:w="489"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902" w:type="pct"/>
                  <w:tcBorders>
                    <w:tl2br w:val="nil"/>
                    <w:tr2bl w:val="nil"/>
                  </w:tcBorders>
                  <w:vAlign w:val="center"/>
                </w:tcPr>
                <w:p>
                  <w:pPr>
                    <w:pStyle w:val="69"/>
                    <w:jc w:val="cente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pPr>
                  <w: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t>排放速率</w:t>
                  </w:r>
                  <w:r>
                    <w:rPr>
                      <w:rFonts w:hint="default" w:ascii="Times New Roman" w:hAnsi="Times New Roman" w:cs="Times New Roman"/>
                      <w:color w:val="000000" w:themeColor="text1"/>
                      <w:sz w:val="18"/>
                      <w:szCs w:val="18"/>
                      <w:highlight w:val="none"/>
                      <w:lang w:eastAsia="zh-CN"/>
                      <w14:textFill>
                        <w14:solidFill>
                          <w14:schemeClr w14:val="tx1"/>
                        </w14:solidFill>
                      </w14:textFill>
                    </w:rPr>
                    <w:t>kg/h</w:t>
                  </w:r>
                </w:p>
              </w:tc>
              <w:tc>
                <w:tcPr>
                  <w:tcW w:w="578" w:type="pct"/>
                  <w:tcBorders>
                    <w:tl2br w:val="nil"/>
                    <w:tr2bl w:val="nil"/>
                  </w:tcBorders>
                  <w:vAlign w:val="center"/>
                </w:tcPr>
                <w:p>
                  <w:pPr>
                    <w:pStyle w:val="69"/>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1.79</w:t>
                  </w:r>
                </w:p>
              </w:tc>
              <w:tc>
                <w:tcPr>
                  <w:tcW w:w="573" w:type="pct"/>
                  <w:tcBorders>
                    <w:tl2br w:val="nil"/>
                    <w:tr2bl w:val="nil"/>
                  </w:tcBorders>
                  <w:vAlign w:val="center"/>
                </w:tcPr>
                <w:p>
                  <w:pPr>
                    <w:jc w:val="center"/>
                    <w:rPr>
                      <w:rFonts w:hint="default"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1.71</w:t>
                  </w:r>
                </w:p>
              </w:tc>
              <w:tc>
                <w:tcPr>
                  <w:tcW w:w="577" w:type="pct"/>
                  <w:tcBorders>
                    <w:tl2br w:val="nil"/>
                    <w:tr2bl w:val="nil"/>
                  </w:tcBorders>
                  <w:vAlign w:val="center"/>
                </w:tcPr>
                <w:p>
                  <w:pPr>
                    <w:jc w:val="center"/>
                    <w:rPr>
                      <w:rFonts w:hint="default"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1.63</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817" w:type="pct"/>
                  <w:vMerge w:val="continue"/>
                  <w:tcBorders>
                    <w:tl2br w:val="nil"/>
                    <w:tr2bl w:val="nil"/>
                  </w:tcBorders>
                  <w:vAlign w:val="center"/>
                </w:tcPr>
                <w:p>
                  <w:pPr>
                    <w:ind w:firstLine="360" w:firstLineChars="200"/>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continue"/>
                  <w:tcBorders>
                    <w:tl2br w:val="nil"/>
                    <w:tr2bl w:val="nil"/>
                  </w:tcBorders>
                  <w:vAlign w:val="center"/>
                </w:tcPr>
                <w:p>
                  <w:pPr>
                    <w:ind w:firstLine="360" w:firstLineChars="200"/>
                    <w:rPr>
                      <w:rFonts w:hint="default" w:ascii="Times New Roman" w:hAnsi="Times New Roman" w:cs="Times New Roman"/>
                      <w:color w:val="000000" w:themeColor="text1"/>
                      <w:sz w:val="18"/>
                      <w:szCs w:val="18"/>
                      <w:highlight w:val="none"/>
                      <w14:textFill>
                        <w14:solidFill>
                          <w14:schemeClr w14:val="tx1"/>
                        </w14:solidFill>
                      </w14:textFill>
                    </w:rPr>
                  </w:pPr>
                </w:p>
              </w:tc>
              <w:tc>
                <w:tcPr>
                  <w:tcW w:w="489" w:type="pct"/>
                  <w:vMerge w:val="restart"/>
                  <w:tcBorders>
                    <w:tl2br w:val="nil"/>
                    <w:tr2bl w:val="nil"/>
                  </w:tcBorders>
                  <w:vAlign w:val="center"/>
                </w:tcPr>
                <w:p>
                  <w:pPr>
                    <w:jc w:val="center"/>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eastAsia" w:cs="Times New Roman"/>
                      <w:color w:val="000000" w:themeColor="text1"/>
                      <w:sz w:val="18"/>
                      <w:szCs w:val="18"/>
                      <w:highlight w:val="none"/>
                      <w:lang w:eastAsia="zh-CN"/>
                      <w14:textFill>
                        <w14:solidFill>
                          <w14:schemeClr w14:val="tx1"/>
                        </w14:solidFill>
                      </w14:textFill>
                    </w:rPr>
                    <w:t>氮氧化物</w:t>
                  </w:r>
                </w:p>
              </w:tc>
              <w:tc>
                <w:tcPr>
                  <w:tcW w:w="902" w:type="pct"/>
                  <w:tcBorders>
                    <w:tl2br w:val="nil"/>
                    <w:tr2bl w:val="nil"/>
                  </w:tcBorders>
                  <w:vAlign w:val="center"/>
                </w:tcPr>
                <w:p>
                  <w:pPr>
                    <w:pStyle w:val="69"/>
                    <w:jc w:val="cente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pP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实测浓度</w:t>
                  </w:r>
                  <w:r>
                    <w:rPr>
                      <w:rFonts w:hint="default" w:ascii="Times New Roman" w:hAnsi="Times New Roman" w:cs="Times New Roman"/>
                      <w:color w:val="000000" w:themeColor="text1"/>
                      <w:sz w:val="18"/>
                      <w:szCs w:val="18"/>
                      <w:highlight w:val="none"/>
                      <w:lang w:eastAsia="zh-CN"/>
                      <w14:textFill>
                        <w14:solidFill>
                          <w14:schemeClr w14:val="tx1"/>
                        </w14:solidFill>
                      </w14:textFill>
                    </w:rPr>
                    <w:t>mg/m</w:t>
                  </w:r>
                  <w:r>
                    <w:rPr>
                      <w:rFonts w:hint="default" w:ascii="Times New Roman" w:hAnsi="Times New Roman" w:cs="Times New Roman"/>
                      <w:color w:val="000000" w:themeColor="text1"/>
                      <w:sz w:val="18"/>
                      <w:szCs w:val="18"/>
                      <w:highlight w:val="none"/>
                      <w:vertAlign w:val="superscript"/>
                      <w:lang w:eastAsia="zh-CN"/>
                      <w14:textFill>
                        <w14:solidFill>
                          <w14:schemeClr w14:val="tx1"/>
                        </w14:solidFill>
                      </w14:textFill>
                    </w:rPr>
                    <w:t>3</w:t>
                  </w:r>
                </w:p>
              </w:tc>
              <w:tc>
                <w:tcPr>
                  <w:tcW w:w="578" w:type="pct"/>
                  <w:tcBorders>
                    <w:tl2br w:val="nil"/>
                    <w:tr2bl w:val="nil"/>
                  </w:tcBorders>
                  <w:vAlign w:val="center"/>
                </w:tcPr>
                <w:p>
                  <w:pPr>
                    <w:pStyle w:val="69"/>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65</w:t>
                  </w:r>
                </w:p>
              </w:tc>
              <w:tc>
                <w:tcPr>
                  <w:tcW w:w="573" w:type="pct"/>
                  <w:tcBorders>
                    <w:tl2br w:val="nil"/>
                    <w:tr2bl w:val="nil"/>
                  </w:tcBorders>
                  <w:vAlign w:val="center"/>
                </w:tcPr>
                <w:p>
                  <w:pPr>
                    <w:jc w:val="center"/>
                    <w:rPr>
                      <w:rFonts w:hint="default"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74</w:t>
                  </w:r>
                </w:p>
              </w:tc>
              <w:tc>
                <w:tcPr>
                  <w:tcW w:w="577" w:type="pct"/>
                  <w:tcBorders>
                    <w:tl2br w:val="nil"/>
                    <w:tr2bl w:val="nil"/>
                  </w:tcBorders>
                  <w:vAlign w:val="center"/>
                </w:tcPr>
                <w:p>
                  <w:pPr>
                    <w:jc w:val="center"/>
                    <w:rPr>
                      <w:rFonts w:hint="default"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68</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817" w:type="pct"/>
                  <w:vMerge w:val="continue"/>
                  <w:tcBorders>
                    <w:tl2br w:val="nil"/>
                    <w:tr2bl w:val="nil"/>
                  </w:tcBorders>
                  <w:vAlign w:val="center"/>
                </w:tcPr>
                <w:p>
                  <w:pPr>
                    <w:ind w:firstLine="360" w:firstLineChars="200"/>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continue"/>
                  <w:tcBorders>
                    <w:tl2br w:val="nil"/>
                    <w:tr2bl w:val="nil"/>
                  </w:tcBorders>
                  <w:vAlign w:val="center"/>
                </w:tcPr>
                <w:p>
                  <w:pPr>
                    <w:ind w:firstLine="360" w:firstLineChars="200"/>
                    <w:rPr>
                      <w:rFonts w:hint="default" w:ascii="Times New Roman" w:hAnsi="Times New Roman" w:cs="Times New Roman"/>
                      <w:color w:val="000000" w:themeColor="text1"/>
                      <w:sz w:val="18"/>
                      <w:szCs w:val="18"/>
                      <w:highlight w:val="none"/>
                      <w14:textFill>
                        <w14:solidFill>
                          <w14:schemeClr w14:val="tx1"/>
                        </w14:solidFill>
                      </w14:textFill>
                    </w:rPr>
                  </w:pPr>
                </w:p>
              </w:tc>
              <w:tc>
                <w:tcPr>
                  <w:tcW w:w="489"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902" w:type="pct"/>
                  <w:tcBorders>
                    <w:tl2br w:val="nil"/>
                    <w:tr2bl w:val="nil"/>
                  </w:tcBorders>
                  <w:vAlign w:val="center"/>
                </w:tcPr>
                <w:p>
                  <w:pPr>
                    <w:pStyle w:val="69"/>
                    <w:jc w:val="cente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pPr>
                  <w: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t>排放速率</w:t>
                  </w:r>
                  <w:r>
                    <w:rPr>
                      <w:rFonts w:hint="default" w:ascii="Times New Roman" w:hAnsi="Times New Roman" w:cs="Times New Roman"/>
                      <w:color w:val="000000" w:themeColor="text1"/>
                      <w:sz w:val="18"/>
                      <w:szCs w:val="18"/>
                      <w:highlight w:val="none"/>
                      <w:lang w:eastAsia="zh-CN"/>
                      <w14:textFill>
                        <w14:solidFill>
                          <w14:schemeClr w14:val="tx1"/>
                        </w14:solidFill>
                      </w14:textFill>
                    </w:rPr>
                    <w:t>kg/h</w:t>
                  </w:r>
                </w:p>
              </w:tc>
              <w:tc>
                <w:tcPr>
                  <w:tcW w:w="578" w:type="pct"/>
                  <w:tcBorders>
                    <w:tl2br w:val="nil"/>
                    <w:tr2bl w:val="nil"/>
                  </w:tcBorders>
                  <w:vAlign w:val="center"/>
                </w:tcPr>
                <w:p>
                  <w:pPr>
                    <w:pStyle w:val="69"/>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0.595</w:t>
                  </w:r>
                </w:p>
              </w:tc>
              <w:tc>
                <w:tcPr>
                  <w:tcW w:w="573" w:type="pct"/>
                  <w:tcBorders>
                    <w:tl2br w:val="nil"/>
                    <w:tr2bl w:val="nil"/>
                  </w:tcBorders>
                  <w:vAlign w:val="center"/>
                </w:tcPr>
                <w:p>
                  <w:pPr>
                    <w:jc w:val="center"/>
                    <w:rPr>
                      <w:rFonts w:hint="default"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0.703</w:t>
                  </w:r>
                </w:p>
              </w:tc>
              <w:tc>
                <w:tcPr>
                  <w:tcW w:w="577" w:type="pct"/>
                  <w:tcBorders>
                    <w:tl2br w:val="nil"/>
                    <w:tr2bl w:val="nil"/>
                  </w:tcBorders>
                  <w:vAlign w:val="center"/>
                </w:tcPr>
                <w:p>
                  <w:pPr>
                    <w:jc w:val="center"/>
                    <w:rPr>
                      <w:rFonts w:hint="default"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0.643</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817" w:type="pct"/>
                  <w:vMerge w:val="continue"/>
                  <w:tcBorders>
                    <w:tl2br w:val="nil"/>
                    <w:tr2bl w:val="nil"/>
                  </w:tcBorders>
                  <w:vAlign w:val="center"/>
                </w:tcPr>
                <w:p>
                  <w:pPr>
                    <w:ind w:firstLine="360" w:firstLineChars="200"/>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continue"/>
                  <w:tcBorders>
                    <w:tl2br w:val="nil"/>
                    <w:tr2bl w:val="nil"/>
                  </w:tcBorders>
                  <w:vAlign w:val="center"/>
                </w:tcPr>
                <w:p>
                  <w:pPr>
                    <w:ind w:firstLine="360" w:firstLineChars="200"/>
                    <w:rPr>
                      <w:rFonts w:hint="default" w:ascii="Times New Roman" w:hAnsi="Times New Roman" w:cs="Times New Roman"/>
                      <w:color w:val="000000" w:themeColor="text1"/>
                      <w:sz w:val="18"/>
                      <w:szCs w:val="18"/>
                      <w:highlight w:val="none"/>
                      <w14:textFill>
                        <w14:solidFill>
                          <w14:schemeClr w14:val="tx1"/>
                        </w14:solidFill>
                      </w14:textFill>
                    </w:rPr>
                  </w:pPr>
                </w:p>
              </w:tc>
              <w:tc>
                <w:tcPr>
                  <w:tcW w:w="489" w:type="pct"/>
                  <w:vMerge w:val="restart"/>
                  <w:tcBorders>
                    <w:tl2br w:val="nil"/>
                    <w:tr2bl w:val="nil"/>
                  </w:tcBorders>
                  <w:vAlign w:val="center"/>
                </w:tcPr>
                <w:p>
                  <w:pPr>
                    <w:jc w:val="center"/>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eastAsia" w:cs="Times New Roman"/>
                      <w:color w:val="000000" w:themeColor="text1"/>
                      <w:sz w:val="18"/>
                      <w:szCs w:val="18"/>
                      <w:highlight w:val="none"/>
                      <w:lang w:eastAsia="zh-CN"/>
                      <w14:textFill>
                        <w14:solidFill>
                          <w14:schemeClr w14:val="tx1"/>
                        </w14:solidFill>
                      </w14:textFill>
                    </w:rPr>
                    <w:t>氯化氢</w:t>
                  </w:r>
                </w:p>
              </w:tc>
              <w:tc>
                <w:tcPr>
                  <w:tcW w:w="902" w:type="pct"/>
                  <w:tcBorders>
                    <w:tl2br w:val="nil"/>
                    <w:tr2bl w:val="nil"/>
                  </w:tcBorders>
                  <w:vAlign w:val="center"/>
                </w:tcPr>
                <w:p>
                  <w:pPr>
                    <w:pStyle w:val="69"/>
                    <w:jc w:val="cente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pP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实测浓度</w:t>
                  </w:r>
                  <w:r>
                    <w:rPr>
                      <w:rFonts w:hint="default" w:ascii="Times New Roman" w:hAnsi="Times New Roman" w:cs="Times New Roman"/>
                      <w:color w:val="000000" w:themeColor="text1"/>
                      <w:sz w:val="18"/>
                      <w:szCs w:val="18"/>
                      <w:highlight w:val="none"/>
                      <w:lang w:eastAsia="zh-CN"/>
                      <w14:textFill>
                        <w14:solidFill>
                          <w14:schemeClr w14:val="tx1"/>
                        </w14:solidFill>
                      </w14:textFill>
                    </w:rPr>
                    <w:t>mg/m</w:t>
                  </w:r>
                  <w:r>
                    <w:rPr>
                      <w:rFonts w:hint="default" w:ascii="Times New Roman" w:hAnsi="Times New Roman" w:cs="Times New Roman"/>
                      <w:color w:val="000000" w:themeColor="text1"/>
                      <w:sz w:val="18"/>
                      <w:szCs w:val="18"/>
                      <w:highlight w:val="none"/>
                      <w:vertAlign w:val="superscript"/>
                      <w:lang w:eastAsia="zh-CN"/>
                      <w14:textFill>
                        <w14:solidFill>
                          <w14:schemeClr w14:val="tx1"/>
                        </w14:solidFill>
                      </w14:textFill>
                    </w:rPr>
                    <w:t>3</w:t>
                  </w:r>
                </w:p>
              </w:tc>
              <w:tc>
                <w:tcPr>
                  <w:tcW w:w="578" w:type="pct"/>
                  <w:tcBorders>
                    <w:tl2br w:val="nil"/>
                    <w:tr2bl w:val="nil"/>
                  </w:tcBorders>
                  <w:vAlign w:val="center"/>
                </w:tcPr>
                <w:p>
                  <w:pPr>
                    <w:pStyle w:val="69"/>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5.98</w:t>
                  </w:r>
                </w:p>
              </w:tc>
              <w:tc>
                <w:tcPr>
                  <w:tcW w:w="573" w:type="pct"/>
                  <w:tcBorders>
                    <w:tl2br w:val="nil"/>
                    <w:tr2bl w:val="nil"/>
                  </w:tcBorders>
                  <w:vAlign w:val="center"/>
                </w:tcPr>
                <w:p>
                  <w:pPr>
                    <w:jc w:val="center"/>
                    <w:rPr>
                      <w:rFonts w:hint="default"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3.49</w:t>
                  </w:r>
                </w:p>
              </w:tc>
              <w:tc>
                <w:tcPr>
                  <w:tcW w:w="577" w:type="pct"/>
                  <w:tcBorders>
                    <w:tl2br w:val="nil"/>
                    <w:tr2bl w:val="nil"/>
                  </w:tcBorders>
                  <w:vAlign w:val="center"/>
                </w:tcPr>
                <w:p>
                  <w:pPr>
                    <w:jc w:val="center"/>
                    <w:rPr>
                      <w:rFonts w:hint="default"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4.91</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817" w:type="pct"/>
                  <w:vMerge w:val="continue"/>
                  <w:tcBorders>
                    <w:tl2br w:val="nil"/>
                    <w:tr2bl w:val="nil"/>
                  </w:tcBorders>
                  <w:vAlign w:val="center"/>
                </w:tcPr>
                <w:p>
                  <w:pPr>
                    <w:ind w:firstLine="360" w:firstLineChars="200"/>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continue"/>
                  <w:tcBorders>
                    <w:tl2br w:val="nil"/>
                    <w:tr2bl w:val="nil"/>
                  </w:tcBorders>
                  <w:vAlign w:val="center"/>
                </w:tcPr>
                <w:p>
                  <w:pPr>
                    <w:ind w:firstLine="360" w:firstLineChars="200"/>
                    <w:rPr>
                      <w:rFonts w:hint="default" w:ascii="Times New Roman" w:hAnsi="Times New Roman" w:cs="Times New Roman"/>
                      <w:color w:val="000000" w:themeColor="text1"/>
                      <w:sz w:val="18"/>
                      <w:szCs w:val="18"/>
                      <w:highlight w:val="none"/>
                      <w14:textFill>
                        <w14:solidFill>
                          <w14:schemeClr w14:val="tx1"/>
                        </w14:solidFill>
                      </w14:textFill>
                    </w:rPr>
                  </w:pPr>
                </w:p>
              </w:tc>
              <w:tc>
                <w:tcPr>
                  <w:tcW w:w="489"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902" w:type="pct"/>
                  <w:tcBorders>
                    <w:tl2br w:val="nil"/>
                    <w:tr2bl w:val="nil"/>
                  </w:tcBorders>
                  <w:vAlign w:val="center"/>
                </w:tcPr>
                <w:p>
                  <w:pPr>
                    <w:pStyle w:val="69"/>
                    <w:jc w:val="cente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pPr>
                  <w: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t>排放速率</w:t>
                  </w:r>
                  <w:r>
                    <w:rPr>
                      <w:rFonts w:hint="default" w:ascii="Times New Roman" w:hAnsi="Times New Roman" w:cs="Times New Roman"/>
                      <w:color w:val="000000" w:themeColor="text1"/>
                      <w:sz w:val="18"/>
                      <w:szCs w:val="18"/>
                      <w:highlight w:val="none"/>
                      <w:lang w:eastAsia="zh-CN"/>
                      <w14:textFill>
                        <w14:solidFill>
                          <w14:schemeClr w14:val="tx1"/>
                        </w14:solidFill>
                      </w14:textFill>
                    </w:rPr>
                    <w:t>kg/h</w:t>
                  </w:r>
                </w:p>
              </w:tc>
              <w:tc>
                <w:tcPr>
                  <w:tcW w:w="578" w:type="pct"/>
                  <w:tcBorders>
                    <w:tl2br w:val="nil"/>
                    <w:tr2bl w:val="nil"/>
                  </w:tcBorders>
                  <w:vAlign w:val="center"/>
                </w:tcPr>
                <w:p>
                  <w:pPr>
                    <w:pStyle w:val="69"/>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5.48</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eastAsia" w:ascii="Times New Roman" w:hAnsi="Times New Roman" w:cs="Times New Roman"/>
                      <w:color w:val="000000" w:themeColor="text1"/>
                      <w:sz w:val="18"/>
                      <w:szCs w:val="18"/>
                      <w:highlight w:val="none"/>
                      <w:vertAlign w:val="superscript"/>
                      <w:lang w:val="en-US" w:eastAsia="zh-CN"/>
                      <w14:textFill>
                        <w14:solidFill>
                          <w14:schemeClr w14:val="tx1"/>
                        </w14:solidFill>
                      </w14:textFill>
                    </w:rPr>
                    <w:t>-2</w:t>
                  </w:r>
                </w:p>
              </w:tc>
              <w:tc>
                <w:tcPr>
                  <w:tcW w:w="573" w:type="pct"/>
                  <w:tcBorders>
                    <w:tl2br w:val="nil"/>
                    <w:tr2bl w:val="nil"/>
                  </w:tcBorders>
                  <w:vAlign w:val="center"/>
                </w:tcPr>
                <w:p>
                  <w:pPr>
                    <w:jc w:val="center"/>
                    <w:rPr>
                      <w:rFonts w:hint="default"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3.31</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eastAsia" w:ascii="Times New Roman" w:hAnsi="Times New Roman" w:cs="Times New Roman"/>
                      <w:color w:val="000000" w:themeColor="text1"/>
                      <w:sz w:val="18"/>
                      <w:szCs w:val="18"/>
                      <w:highlight w:val="none"/>
                      <w:vertAlign w:val="superscript"/>
                      <w:lang w:val="en-US" w:eastAsia="zh-CN"/>
                      <w14:textFill>
                        <w14:solidFill>
                          <w14:schemeClr w14:val="tx1"/>
                        </w14:solidFill>
                      </w14:textFill>
                    </w:rPr>
                    <w:t>-2</w:t>
                  </w:r>
                </w:p>
              </w:tc>
              <w:tc>
                <w:tcPr>
                  <w:tcW w:w="577" w:type="pct"/>
                  <w:tcBorders>
                    <w:tl2br w:val="nil"/>
                    <w:tr2bl w:val="nil"/>
                  </w:tcBorders>
                  <w:vAlign w:val="center"/>
                </w:tcPr>
                <w:p>
                  <w:pPr>
                    <w:jc w:val="center"/>
                    <w:rPr>
                      <w:rFonts w:hint="default"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4.64</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eastAsia" w:ascii="Times New Roman" w:hAnsi="Times New Roman" w:cs="Times New Roman"/>
                      <w:color w:val="000000" w:themeColor="text1"/>
                      <w:sz w:val="18"/>
                      <w:szCs w:val="18"/>
                      <w:highlight w:val="none"/>
                      <w:vertAlign w:val="superscript"/>
                      <w:lang w:val="en-US" w:eastAsia="zh-CN"/>
                      <w14:textFill>
                        <w14:solidFill>
                          <w14:schemeClr w14:val="tx1"/>
                        </w14:solidFill>
                      </w14:textFill>
                    </w:rPr>
                    <w:t>-2</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817" w:type="pct"/>
                  <w:vMerge w:val="continue"/>
                  <w:tcBorders>
                    <w:tl2br w:val="nil"/>
                    <w:tr2bl w:val="nil"/>
                  </w:tcBorders>
                  <w:vAlign w:val="center"/>
                </w:tcPr>
                <w:p>
                  <w:pPr>
                    <w:ind w:firstLine="360" w:firstLineChars="200"/>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restart"/>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202</w:t>
                  </w:r>
                  <w:r>
                    <w:rPr>
                      <w:rFonts w:hint="eastAsia" w:cs="Times New Roman"/>
                      <w:color w:val="000000" w:themeColor="text1"/>
                      <w:sz w:val="18"/>
                      <w:szCs w:val="18"/>
                      <w:highlight w:val="none"/>
                      <w:lang w:val="en-US" w:eastAsia="zh-CN"/>
                      <w14:textFill>
                        <w14:solidFill>
                          <w14:schemeClr w14:val="tx1"/>
                        </w14:solidFill>
                      </w14:textFill>
                    </w:rPr>
                    <w:t>4</w:t>
                  </w:r>
                  <w:r>
                    <w:rPr>
                      <w:rFonts w:hint="default" w:ascii="Times New Roman" w:hAnsi="Times New Roman" w:cs="Times New Roman"/>
                      <w:color w:val="000000" w:themeColor="text1"/>
                      <w:sz w:val="18"/>
                      <w:szCs w:val="18"/>
                      <w:highlight w:val="none"/>
                      <w14:textFill>
                        <w14:solidFill>
                          <w14:schemeClr w14:val="tx1"/>
                        </w14:solidFill>
                      </w14:textFill>
                    </w:rPr>
                    <w:t>年</w:t>
                  </w:r>
                </w:p>
                <w:p>
                  <w:pPr>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5</w:t>
                  </w:r>
                  <w:r>
                    <w:rPr>
                      <w:rFonts w:hint="default" w:ascii="Times New Roman" w:hAnsi="Times New Roman" w:cs="Times New Roman"/>
                      <w:color w:val="000000" w:themeColor="text1"/>
                      <w:sz w:val="18"/>
                      <w:szCs w:val="18"/>
                      <w:highlight w:val="none"/>
                      <w14:textFill>
                        <w14:solidFill>
                          <w14:schemeClr w14:val="tx1"/>
                        </w14:solidFill>
                      </w14:textFill>
                    </w:rPr>
                    <w:t>月</w:t>
                  </w:r>
                  <w:r>
                    <w:rPr>
                      <w:rFonts w:hint="eastAsia" w:cs="Times New Roman"/>
                      <w:color w:val="000000" w:themeColor="text1"/>
                      <w:sz w:val="18"/>
                      <w:szCs w:val="18"/>
                      <w:highlight w:val="none"/>
                      <w:lang w:val="en-US" w:eastAsia="zh-CN"/>
                      <w14:textFill>
                        <w14:solidFill>
                          <w14:schemeClr w14:val="tx1"/>
                        </w14:solidFill>
                      </w14:textFill>
                    </w:rPr>
                    <w:t>9</w:t>
                  </w:r>
                  <w:r>
                    <w:rPr>
                      <w:rFonts w:hint="default" w:ascii="Times New Roman" w:hAnsi="Times New Roman" w:cs="Times New Roman"/>
                      <w:color w:val="000000" w:themeColor="text1"/>
                      <w:sz w:val="18"/>
                      <w:szCs w:val="18"/>
                      <w:highlight w:val="none"/>
                      <w14:textFill>
                        <w14:solidFill>
                          <w14:schemeClr w14:val="tx1"/>
                        </w14:solidFill>
                      </w14:textFill>
                    </w:rPr>
                    <w:t>日</w:t>
                  </w:r>
                </w:p>
              </w:tc>
              <w:tc>
                <w:tcPr>
                  <w:tcW w:w="489" w:type="pct"/>
                  <w:vMerge w:val="restart"/>
                  <w:tcBorders>
                    <w:tl2br w:val="nil"/>
                    <w:tr2bl w:val="nil"/>
                  </w:tcBorders>
                  <w:vAlign w:val="center"/>
                </w:tcPr>
                <w:p>
                  <w:pPr>
                    <w:pStyle w:val="69"/>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pacing w:val="-1"/>
                      <w:kern w:val="0"/>
                      <w:sz w:val="18"/>
                      <w:szCs w:val="18"/>
                      <w:highlight w:val="none"/>
                      <w:lang w:val="en-US" w:eastAsia="zh-CN" w:bidi="ar-SA"/>
                      <w14:textFill>
                        <w14:solidFill>
                          <w14:schemeClr w14:val="tx1"/>
                        </w14:solidFill>
                      </w14:textFill>
                    </w:rPr>
                    <w:t>烟气参数</w:t>
                  </w:r>
                </w:p>
              </w:tc>
              <w:tc>
                <w:tcPr>
                  <w:tcW w:w="902" w:type="pct"/>
                  <w:tcBorders>
                    <w:tl2br w:val="nil"/>
                    <w:tr2bl w:val="nil"/>
                  </w:tcBorders>
                  <w:vAlign w:val="center"/>
                </w:tcPr>
                <w:p>
                  <w:pPr>
                    <w:pStyle w:val="69"/>
                    <w:jc w:val="cente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pP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烟温（℃）</w:t>
                  </w:r>
                </w:p>
              </w:tc>
              <w:tc>
                <w:tcPr>
                  <w:tcW w:w="578" w:type="pct"/>
                  <w:tcBorders>
                    <w:tl2br w:val="nil"/>
                    <w:tr2bl w:val="nil"/>
                  </w:tcBorders>
                  <w:vAlign w:val="center"/>
                </w:tcPr>
                <w:p>
                  <w:pPr>
                    <w:pStyle w:val="69"/>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34</w:t>
                  </w:r>
                </w:p>
              </w:tc>
              <w:tc>
                <w:tcPr>
                  <w:tcW w:w="573" w:type="pct"/>
                  <w:tcBorders>
                    <w:tl2br w:val="nil"/>
                    <w:tr2bl w:val="nil"/>
                  </w:tcBorders>
                  <w:vAlign w:val="center"/>
                </w:tcPr>
                <w:p>
                  <w:pPr>
                    <w:pStyle w:val="69"/>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34</w:t>
                  </w:r>
                </w:p>
              </w:tc>
              <w:tc>
                <w:tcPr>
                  <w:tcW w:w="577" w:type="pct"/>
                  <w:tcBorders>
                    <w:tl2br w:val="nil"/>
                    <w:tr2bl w:val="nil"/>
                  </w:tcBorders>
                  <w:vAlign w:val="center"/>
                </w:tcPr>
                <w:p>
                  <w:pPr>
                    <w:pStyle w:val="69"/>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34</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817" w:type="pct"/>
                  <w:vMerge w:val="continue"/>
                  <w:tcBorders>
                    <w:tl2br w:val="nil"/>
                    <w:tr2bl w:val="nil"/>
                  </w:tcBorders>
                  <w:vAlign w:val="center"/>
                </w:tcPr>
                <w:p>
                  <w:pPr>
                    <w:ind w:firstLine="360" w:firstLineChars="200"/>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489" w:type="pct"/>
                  <w:vMerge w:val="continue"/>
                  <w:tcBorders>
                    <w:tl2br w:val="nil"/>
                    <w:tr2bl w:val="nil"/>
                  </w:tcBorders>
                  <w:vAlign w:val="center"/>
                </w:tcPr>
                <w:p>
                  <w:pPr>
                    <w:pStyle w:val="69"/>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902" w:type="pct"/>
                  <w:tcBorders>
                    <w:tl2br w:val="nil"/>
                    <w:tr2bl w:val="nil"/>
                  </w:tcBorders>
                  <w:vAlign w:val="center"/>
                </w:tcPr>
                <w:p>
                  <w:pPr>
                    <w:pStyle w:val="69"/>
                    <w:jc w:val="cente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pPr>
                  <w:r>
                    <w:rPr>
                      <w:rFonts w:hint="default" w:ascii="Times New Roman" w:hAnsi="Times New Roman" w:cs="Times New Roman"/>
                      <w:color w:val="000000" w:themeColor="text1"/>
                      <w:spacing w:val="-1"/>
                      <w:kern w:val="0"/>
                      <w:sz w:val="18"/>
                      <w:szCs w:val="18"/>
                      <w:highlight w:val="none"/>
                      <w:lang w:val="en-US" w:eastAsia="zh-CN" w:bidi="ar-SA"/>
                      <w14:textFill>
                        <w14:solidFill>
                          <w14:schemeClr w14:val="tx1"/>
                        </w14:solidFill>
                      </w14:textFill>
                    </w:rPr>
                    <w:t>流速（m/s）</w:t>
                  </w:r>
                </w:p>
              </w:tc>
              <w:tc>
                <w:tcPr>
                  <w:tcW w:w="578" w:type="pct"/>
                  <w:tcBorders>
                    <w:tl2br w:val="nil"/>
                    <w:tr2bl w:val="nil"/>
                  </w:tcBorders>
                  <w:vAlign w:val="center"/>
                </w:tcPr>
                <w:p>
                  <w:pPr>
                    <w:pStyle w:val="69"/>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5.5</w:t>
                  </w:r>
                </w:p>
              </w:tc>
              <w:tc>
                <w:tcPr>
                  <w:tcW w:w="573" w:type="pct"/>
                  <w:tcBorders>
                    <w:tl2br w:val="nil"/>
                    <w:tr2bl w:val="nil"/>
                  </w:tcBorders>
                  <w:vAlign w:val="center"/>
                </w:tcPr>
                <w:p>
                  <w:pPr>
                    <w:pStyle w:val="69"/>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4.9</w:t>
                  </w:r>
                </w:p>
              </w:tc>
              <w:tc>
                <w:tcPr>
                  <w:tcW w:w="577" w:type="pct"/>
                  <w:tcBorders>
                    <w:tl2br w:val="nil"/>
                    <w:tr2bl w:val="nil"/>
                  </w:tcBorders>
                  <w:vAlign w:val="center"/>
                </w:tcPr>
                <w:p>
                  <w:pPr>
                    <w:pStyle w:val="69"/>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3.1</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817" w:type="pct"/>
                  <w:vMerge w:val="continue"/>
                  <w:tcBorders>
                    <w:tl2br w:val="nil"/>
                    <w:tr2bl w:val="nil"/>
                  </w:tcBorders>
                  <w:vAlign w:val="center"/>
                </w:tcPr>
                <w:p>
                  <w:pPr>
                    <w:ind w:firstLine="360" w:firstLineChars="200"/>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489" w:type="pct"/>
                  <w:vMerge w:val="continue"/>
                  <w:tcBorders>
                    <w:tl2br w:val="nil"/>
                    <w:tr2bl w:val="nil"/>
                  </w:tcBorders>
                  <w:vAlign w:val="center"/>
                </w:tcPr>
                <w:p>
                  <w:pPr>
                    <w:pStyle w:val="69"/>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902" w:type="pct"/>
                  <w:tcBorders>
                    <w:tl2br w:val="nil"/>
                    <w:tr2bl w:val="nil"/>
                  </w:tcBorders>
                  <w:vAlign w:val="center"/>
                </w:tcPr>
                <w:p>
                  <w:pPr>
                    <w:pStyle w:val="69"/>
                    <w:jc w:val="cente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pP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含湿量（</w:t>
                  </w:r>
                  <w:r>
                    <w:rPr>
                      <w:rFonts w:hint="default" w:ascii="Times New Roman" w:hAnsi="Times New Roman" w:cs="Times New Roman"/>
                      <w:color w:val="000000" w:themeColor="text1"/>
                      <w:spacing w:val="-1"/>
                      <w:sz w:val="18"/>
                      <w:szCs w:val="18"/>
                      <w:highlight w:val="none"/>
                      <w:lang w:val="en-US" w:eastAsia="zh-CN"/>
                      <w14:textFill>
                        <w14:solidFill>
                          <w14:schemeClr w14:val="tx1"/>
                        </w14:solidFill>
                      </w14:textFill>
                    </w:rPr>
                    <w:t>%</w:t>
                  </w: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w:t>
                  </w:r>
                </w:p>
              </w:tc>
              <w:tc>
                <w:tcPr>
                  <w:tcW w:w="578" w:type="pct"/>
                  <w:tcBorders>
                    <w:tl2br w:val="nil"/>
                    <w:tr2bl w:val="nil"/>
                  </w:tcBorders>
                  <w:vAlign w:val="center"/>
                </w:tcPr>
                <w:p>
                  <w:pPr>
                    <w:pStyle w:val="69"/>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t>4.</w:t>
                  </w: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6</w:t>
                  </w:r>
                </w:p>
              </w:tc>
              <w:tc>
                <w:tcPr>
                  <w:tcW w:w="573" w:type="pct"/>
                  <w:tcBorders>
                    <w:tl2br w:val="nil"/>
                    <w:tr2bl w:val="nil"/>
                  </w:tcBorders>
                  <w:vAlign w:val="center"/>
                </w:tcPr>
                <w:p>
                  <w:pPr>
                    <w:pStyle w:val="69"/>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t>4.</w:t>
                  </w: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6</w:t>
                  </w:r>
                </w:p>
              </w:tc>
              <w:tc>
                <w:tcPr>
                  <w:tcW w:w="577" w:type="pct"/>
                  <w:tcBorders>
                    <w:tl2br w:val="nil"/>
                    <w:tr2bl w:val="nil"/>
                  </w:tcBorders>
                  <w:vAlign w:val="center"/>
                </w:tcPr>
                <w:p>
                  <w:pPr>
                    <w:pStyle w:val="69"/>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t>4.</w:t>
                  </w: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6</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817" w:type="pct"/>
                  <w:vMerge w:val="continue"/>
                  <w:tcBorders>
                    <w:tl2br w:val="nil"/>
                    <w:tr2bl w:val="nil"/>
                  </w:tcBorders>
                  <w:vAlign w:val="center"/>
                </w:tcPr>
                <w:p>
                  <w:pPr>
                    <w:ind w:firstLine="360" w:firstLineChars="200"/>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489" w:type="pct"/>
                  <w:vMerge w:val="continue"/>
                  <w:tcBorders>
                    <w:tl2br w:val="nil"/>
                    <w:tr2bl w:val="nil"/>
                  </w:tcBorders>
                  <w:vAlign w:val="center"/>
                </w:tcPr>
                <w:p>
                  <w:pPr>
                    <w:pStyle w:val="69"/>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902" w:type="pct"/>
                  <w:tcBorders>
                    <w:tl2br w:val="nil"/>
                    <w:tr2bl w:val="nil"/>
                  </w:tcBorders>
                  <w:vAlign w:val="center"/>
                </w:tcPr>
                <w:p>
                  <w:pPr>
                    <w:pStyle w:val="69"/>
                    <w:jc w:val="cente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pP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烟气流量（m</w:t>
                  </w:r>
                  <w:r>
                    <w:rPr>
                      <w:rFonts w:hint="default" w:ascii="Times New Roman" w:hAnsi="Times New Roman" w:cs="Times New Roman"/>
                      <w:color w:val="000000" w:themeColor="text1"/>
                      <w:spacing w:val="-1"/>
                      <w:sz w:val="18"/>
                      <w:szCs w:val="18"/>
                      <w:highlight w:val="none"/>
                      <w:vertAlign w:val="superscript"/>
                      <w:lang w:eastAsia="zh-CN"/>
                      <w14:textFill>
                        <w14:solidFill>
                          <w14:schemeClr w14:val="tx1"/>
                        </w14:solidFill>
                      </w14:textFill>
                    </w:rPr>
                    <w:t>3</w:t>
                  </w: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/h）</w:t>
                  </w:r>
                </w:p>
              </w:tc>
              <w:tc>
                <w:tcPr>
                  <w:tcW w:w="578" w:type="pct"/>
                  <w:tcBorders>
                    <w:tl2br w:val="nil"/>
                    <w:tr2bl w:val="nil"/>
                  </w:tcBorders>
                  <w:vAlign w:val="center"/>
                </w:tcPr>
                <w:p>
                  <w:pPr>
                    <w:pStyle w:val="69"/>
                    <w:jc w:val="cente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t>1.</w:t>
                  </w: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98</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cs="Times New Roman"/>
                      <w:color w:val="000000" w:themeColor="text1"/>
                      <w:sz w:val="18"/>
                      <w:szCs w:val="18"/>
                      <w:highlight w:val="none"/>
                      <w:vertAlign w:val="superscript"/>
                      <w:lang w:val="en-US" w:eastAsia="zh-CN"/>
                      <w14:textFill>
                        <w14:solidFill>
                          <w14:schemeClr w14:val="tx1"/>
                        </w14:solidFill>
                      </w14:textFill>
                    </w:rPr>
                    <w:t>4</w:t>
                  </w:r>
                </w:p>
              </w:tc>
              <w:tc>
                <w:tcPr>
                  <w:tcW w:w="573" w:type="pct"/>
                  <w:tcBorders>
                    <w:tl2br w:val="nil"/>
                    <w:tr2bl w:val="nil"/>
                  </w:tcBorders>
                  <w:vAlign w:val="center"/>
                </w:tcPr>
                <w:p>
                  <w:pPr>
                    <w:pStyle w:val="69"/>
                    <w:jc w:val="cente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t>1.</w:t>
                  </w: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77</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cs="Times New Roman"/>
                      <w:color w:val="000000" w:themeColor="text1"/>
                      <w:sz w:val="18"/>
                      <w:szCs w:val="18"/>
                      <w:highlight w:val="none"/>
                      <w:vertAlign w:val="superscript"/>
                      <w:lang w:val="en-US" w:eastAsia="zh-CN"/>
                      <w14:textFill>
                        <w14:solidFill>
                          <w14:schemeClr w14:val="tx1"/>
                        </w14:solidFill>
                      </w14:textFill>
                    </w:rPr>
                    <w:t>4</w:t>
                  </w:r>
                </w:p>
              </w:tc>
              <w:tc>
                <w:tcPr>
                  <w:tcW w:w="577" w:type="pct"/>
                  <w:tcBorders>
                    <w:tl2br w:val="nil"/>
                    <w:tr2bl w:val="nil"/>
                  </w:tcBorders>
                  <w:vAlign w:val="center"/>
                </w:tcPr>
                <w:p>
                  <w:pPr>
                    <w:pStyle w:val="69"/>
                    <w:jc w:val="cente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t>1.1</w:t>
                  </w: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2</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cs="Times New Roman"/>
                      <w:color w:val="000000" w:themeColor="text1"/>
                      <w:sz w:val="18"/>
                      <w:szCs w:val="18"/>
                      <w:highlight w:val="none"/>
                      <w:vertAlign w:val="superscript"/>
                      <w:lang w:val="en-US" w:eastAsia="zh-CN"/>
                      <w14:textFill>
                        <w14:solidFill>
                          <w14:schemeClr w14:val="tx1"/>
                        </w14:solidFill>
                      </w14:textFill>
                    </w:rPr>
                    <w:t>4</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817" w:type="pct"/>
                  <w:vMerge w:val="continue"/>
                  <w:tcBorders>
                    <w:tl2br w:val="nil"/>
                    <w:tr2bl w:val="nil"/>
                  </w:tcBorders>
                  <w:vAlign w:val="center"/>
                </w:tcPr>
                <w:p>
                  <w:pPr>
                    <w:ind w:firstLine="360" w:firstLineChars="200"/>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489" w:type="pct"/>
                  <w:vMerge w:val="continue"/>
                  <w:tcBorders>
                    <w:tl2br w:val="nil"/>
                    <w:tr2bl w:val="nil"/>
                  </w:tcBorders>
                  <w:vAlign w:val="center"/>
                </w:tcPr>
                <w:p>
                  <w:pPr>
                    <w:pStyle w:val="69"/>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902" w:type="pct"/>
                  <w:tcBorders>
                    <w:tl2br w:val="nil"/>
                    <w:tr2bl w:val="nil"/>
                  </w:tcBorders>
                  <w:vAlign w:val="center"/>
                </w:tcPr>
                <w:p>
                  <w:pPr>
                    <w:pStyle w:val="69"/>
                    <w:jc w:val="cente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pP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标干流量（</w:t>
                  </w:r>
                  <w:r>
                    <w:rPr>
                      <w:rFonts w:hint="default" w:ascii="Times New Roman" w:hAnsi="Times New Roman" w:cs="Times New Roman"/>
                      <w:color w:val="000000" w:themeColor="text1"/>
                      <w:spacing w:val="-1"/>
                      <w:sz w:val="18"/>
                      <w:szCs w:val="18"/>
                      <w:highlight w:val="none"/>
                      <w:lang w:val="en-US" w:eastAsia="zh-CN"/>
                      <w14:textFill>
                        <w14:solidFill>
                          <w14:schemeClr w14:val="tx1"/>
                        </w14:solidFill>
                      </w14:textFill>
                    </w:rPr>
                    <w:t>N</w:t>
                  </w: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m</w:t>
                  </w:r>
                  <w:r>
                    <w:rPr>
                      <w:rFonts w:hint="default" w:ascii="Times New Roman" w:hAnsi="Times New Roman" w:cs="Times New Roman"/>
                      <w:color w:val="000000" w:themeColor="text1"/>
                      <w:spacing w:val="-1"/>
                      <w:sz w:val="18"/>
                      <w:szCs w:val="18"/>
                      <w:highlight w:val="none"/>
                      <w:vertAlign w:val="superscript"/>
                      <w:lang w:eastAsia="zh-CN"/>
                      <w14:textFill>
                        <w14:solidFill>
                          <w14:schemeClr w14:val="tx1"/>
                        </w14:solidFill>
                      </w14:textFill>
                    </w:rPr>
                    <w:t>3</w:t>
                  </w: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/h）</w:t>
                  </w:r>
                </w:p>
              </w:tc>
              <w:tc>
                <w:tcPr>
                  <w:tcW w:w="578" w:type="pct"/>
                  <w:tcBorders>
                    <w:tl2br w:val="nil"/>
                    <w:tr2bl w:val="nil"/>
                  </w:tcBorders>
                  <w:vAlign w:val="center"/>
                </w:tcPr>
                <w:p>
                  <w:pPr>
                    <w:pStyle w:val="69"/>
                    <w:jc w:val="cente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1.67</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eastAsia" w:ascii="Times New Roman" w:hAnsi="Times New Roman" w:cs="Times New Roman"/>
                      <w:color w:val="000000" w:themeColor="text1"/>
                      <w:sz w:val="18"/>
                      <w:szCs w:val="18"/>
                      <w:highlight w:val="none"/>
                      <w:vertAlign w:val="superscript"/>
                      <w:lang w:val="en-US" w:eastAsia="zh-CN"/>
                      <w14:textFill>
                        <w14:solidFill>
                          <w14:schemeClr w14:val="tx1"/>
                        </w14:solidFill>
                      </w14:textFill>
                    </w:rPr>
                    <w:t>4</w:t>
                  </w:r>
                </w:p>
              </w:tc>
              <w:tc>
                <w:tcPr>
                  <w:tcW w:w="573" w:type="pct"/>
                  <w:tcBorders>
                    <w:tl2br w:val="nil"/>
                    <w:tr2bl w:val="nil"/>
                  </w:tcBorders>
                  <w:vAlign w:val="center"/>
                </w:tcPr>
                <w:p>
                  <w:pPr>
                    <w:pStyle w:val="69"/>
                    <w:jc w:val="cente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1.50</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eastAsia" w:ascii="Times New Roman" w:hAnsi="Times New Roman" w:cs="Times New Roman"/>
                      <w:color w:val="000000" w:themeColor="text1"/>
                      <w:sz w:val="18"/>
                      <w:szCs w:val="18"/>
                      <w:highlight w:val="none"/>
                      <w:vertAlign w:val="superscript"/>
                      <w:lang w:val="en-US" w:eastAsia="zh-CN"/>
                      <w14:textFill>
                        <w14:solidFill>
                          <w14:schemeClr w14:val="tx1"/>
                        </w14:solidFill>
                      </w14:textFill>
                    </w:rPr>
                    <w:t>4</w:t>
                  </w:r>
                </w:p>
              </w:tc>
              <w:tc>
                <w:tcPr>
                  <w:tcW w:w="577" w:type="pct"/>
                  <w:tcBorders>
                    <w:tl2br w:val="nil"/>
                    <w:tr2bl w:val="nil"/>
                  </w:tcBorders>
                  <w:vAlign w:val="center"/>
                </w:tcPr>
                <w:p>
                  <w:pPr>
                    <w:pStyle w:val="69"/>
                    <w:jc w:val="cente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9.46</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cs="Times New Roman"/>
                      <w:color w:val="000000" w:themeColor="text1"/>
                      <w:sz w:val="18"/>
                      <w:szCs w:val="18"/>
                      <w:highlight w:val="none"/>
                      <w:vertAlign w:val="superscript"/>
                      <w:lang w:val="en-US" w:eastAsia="zh-CN"/>
                      <w14:textFill>
                        <w14:solidFill>
                          <w14:schemeClr w14:val="tx1"/>
                        </w14:solidFill>
                      </w14:textFill>
                    </w:rPr>
                    <w:t>3</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817" w:type="pct"/>
                  <w:vMerge w:val="continue"/>
                  <w:tcBorders>
                    <w:tl2br w:val="nil"/>
                    <w:tr2bl w:val="nil"/>
                  </w:tcBorders>
                  <w:vAlign w:val="center"/>
                </w:tcPr>
                <w:p>
                  <w:pPr>
                    <w:ind w:firstLine="360" w:firstLineChars="200"/>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489" w:type="pct"/>
                  <w:vMerge w:val="restart"/>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eastAsia" w:cs="Times New Roman"/>
                      <w:color w:val="000000" w:themeColor="text1"/>
                      <w:sz w:val="18"/>
                      <w:szCs w:val="18"/>
                      <w:highlight w:val="none"/>
                      <w:lang w:eastAsia="zh-CN"/>
                      <w14:textFill>
                        <w14:solidFill>
                          <w14:schemeClr w14:val="tx1"/>
                        </w14:solidFill>
                      </w14:textFill>
                    </w:rPr>
                    <w:t>非甲烷总烃</w:t>
                  </w:r>
                </w:p>
              </w:tc>
              <w:tc>
                <w:tcPr>
                  <w:tcW w:w="902" w:type="pct"/>
                  <w:tcBorders>
                    <w:tl2br w:val="nil"/>
                    <w:tr2bl w:val="nil"/>
                  </w:tcBorders>
                  <w:vAlign w:val="center"/>
                </w:tcPr>
                <w:p>
                  <w:pPr>
                    <w:pStyle w:val="69"/>
                    <w:jc w:val="cente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pP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实测浓度</w:t>
                  </w:r>
                  <w:r>
                    <w:rPr>
                      <w:rFonts w:hint="default" w:ascii="Times New Roman" w:hAnsi="Times New Roman" w:cs="Times New Roman"/>
                      <w:color w:val="000000" w:themeColor="text1"/>
                      <w:sz w:val="18"/>
                      <w:szCs w:val="18"/>
                      <w:highlight w:val="none"/>
                      <w:lang w:eastAsia="zh-CN"/>
                      <w14:textFill>
                        <w14:solidFill>
                          <w14:schemeClr w14:val="tx1"/>
                        </w14:solidFill>
                      </w14:textFill>
                    </w:rPr>
                    <w:t>mg/m</w:t>
                  </w:r>
                  <w:r>
                    <w:rPr>
                      <w:rFonts w:hint="default" w:ascii="Times New Roman" w:hAnsi="Times New Roman" w:cs="Times New Roman"/>
                      <w:color w:val="000000" w:themeColor="text1"/>
                      <w:sz w:val="18"/>
                      <w:szCs w:val="18"/>
                      <w:highlight w:val="none"/>
                      <w:vertAlign w:val="superscript"/>
                      <w:lang w:eastAsia="zh-CN"/>
                      <w14:textFill>
                        <w14:solidFill>
                          <w14:schemeClr w14:val="tx1"/>
                        </w14:solidFill>
                      </w14:textFill>
                    </w:rPr>
                    <w:t>3</w:t>
                  </w:r>
                </w:p>
              </w:tc>
              <w:tc>
                <w:tcPr>
                  <w:tcW w:w="578" w:type="pct"/>
                  <w:tcBorders>
                    <w:tl2br w:val="nil"/>
                    <w:tr2bl w:val="nil"/>
                  </w:tcBorders>
                  <w:vAlign w:val="center"/>
                </w:tcPr>
                <w:p>
                  <w:pPr>
                    <w:pStyle w:val="69"/>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8.24</w:t>
                  </w:r>
                </w:p>
              </w:tc>
              <w:tc>
                <w:tcPr>
                  <w:tcW w:w="573" w:type="pct"/>
                  <w:tcBorders>
                    <w:tl2br w:val="nil"/>
                    <w:tr2bl w:val="nil"/>
                  </w:tcBorders>
                  <w:vAlign w:val="center"/>
                </w:tcPr>
                <w:p>
                  <w:pPr>
                    <w:pStyle w:val="69"/>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8.79</w:t>
                  </w:r>
                </w:p>
              </w:tc>
              <w:tc>
                <w:tcPr>
                  <w:tcW w:w="577" w:type="pct"/>
                  <w:tcBorders>
                    <w:tl2br w:val="nil"/>
                    <w:tr2bl w:val="nil"/>
                  </w:tcBorders>
                  <w:vAlign w:val="center"/>
                </w:tcPr>
                <w:p>
                  <w:pPr>
                    <w:pStyle w:val="69"/>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8.53</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817"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489"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902" w:type="pct"/>
                  <w:tcBorders>
                    <w:tl2br w:val="nil"/>
                    <w:tr2bl w:val="nil"/>
                  </w:tcBorders>
                  <w:vAlign w:val="center"/>
                </w:tcPr>
                <w:p>
                  <w:pPr>
                    <w:pStyle w:val="69"/>
                    <w:jc w:val="cente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pPr>
                  <w: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t>排放速率</w:t>
                  </w:r>
                  <w:r>
                    <w:rPr>
                      <w:rFonts w:hint="default" w:ascii="Times New Roman" w:hAnsi="Times New Roman" w:cs="Times New Roman"/>
                      <w:color w:val="000000" w:themeColor="text1"/>
                      <w:sz w:val="18"/>
                      <w:szCs w:val="18"/>
                      <w:highlight w:val="none"/>
                      <w:lang w:eastAsia="zh-CN"/>
                      <w14:textFill>
                        <w14:solidFill>
                          <w14:schemeClr w14:val="tx1"/>
                        </w14:solidFill>
                      </w14:textFill>
                    </w:rPr>
                    <w:t>kg/h</w:t>
                  </w:r>
                </w:p>
              </w:tc>
              <w:tc>
                <w:tcPr>
                  <w:tcW w:w="578" w:type="pct"/>
                  <w:tcBorders>
                    <w:tl2br w:val="nil"/>
                    <w:tr2bl w:val="nil"/>
                  </w:tcBorders>
                  <w:vAlign w:val="center"/>
                </w:tcPr>
                <w:p>
                  <w:pPr>
                    <w:pStyle w:val="69"/>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1.38</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cs="Times New Roman"/>
                      <w:color w:val="000000" w:themeColor="text1"/>
                      <w:sz w:val="18"/>
                      <w:szCs w:val="18"/>
                      <w:highlight w:val="none"/>
                      <w:vertAlign w:val="superscript"/>
                      <w:lang w:val="en-US" w:eastAsia="zh-CN"/>
                      <w14:textFill>
                        <w14:solidFill>
                          <w14:schemeClr w14:val="tx1"/>
                        </w14:solidFill>
                      </w14:textFill>
                    </w:rPr>
                    <w:t>-</w:t>
                  </w:r>
                  <w:r>
                    <w:rPr>
                      <w:rFonts w:hint="eastAsia" w:ascii="Times New Roman" w:hAnsi="Times New Roman" w:cs="Times New Roman"/>
                      <w:color w:val="000000" w:themeColor="text1"/>
                      <w:sz w:val="18"/>
                      <w:szCs w:val="18"/>
                      <w:highlight w:val="none"/>
                      <w:vertAlign w:val="superscript"/>
                      <w:lang w:val="en-US" w:eastAsia="zh-CN"/>
                      <w14:textFill>
                        <w14:solidFill>
                          <w14:schemeClr w14:val="tx1"/>
                        </w14:solidFill>
                      </w14:textFill>
                    </w:rPr>
                    <w:t>1</w:t>
                  </w:r>
                </w:p>
              </w:tc>
              <w:tc>
                <w:tcPr>
                  <w:tcW w:w="573" w:type="pct"/>
                  <w:tcBorders>
                    <w:tl2br w:val="nil"/>
                    <w:tr2bl w:val="nil"/>
                  </w:tcBorders>
                  <w:vAlign w:val="center"/>
                </w:tcPr>
                <w:p>
                  <w:pPr>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1.32</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cs="Times New Roman"/>
                      <w:color w:val="000000" w:themeColor="text1"/>
                      <w:sz w:val="18"/>
                      <w:szCs w:val="18"/>
                      <w:highlight w:val="none"/>
                      <w:vertAlign w:val="superscript"/>
                      <w:lang w:val="en-US" w:eastAsia="zh-CN"/>
                      <w14:textFill>
                        <w14:solidFill>
                          <w14:schemeClr w14:val="tx1"/>
                        </w14:solidFill>
                      </w14:textFill>
                    </w:rPr>
                    <w:t>-</w:t>
                  </w:r>
                  <w:r>
                    <w:rPr>
                      <w:rFonts w:hint="eastAsia" w:cs="Times New Roman"/>
                      <w:color w:val="000000" w:themeColor="text1"/>
                      <w:sz w:val="18"/>
                      <w:szCs w:val="18"/>
                      <w:highlight w:val="none"/>
                      <w:vertAlign w:val="superscript"/>
                      <w:lang w:val="en-US" w:eastAsia="zh-CN"/>
                      <w14:textFill>
                        <w14:solidFill>
                          <w14:schemeClr w14:val="tx1"/>
                        </w14:solidFill>
                      </w14:textFill>
                    </w:rPr>
                    <w:t>1</w:t>
                  </w:r>
                </w:p>
              </w:tc>
              <w:tc>
                <w:tcPr>
                  <w:tcW w:w="577" w:type="pct"/>
                  <w:tcBorders>
                    <w:tl2br w:val="nil"/>
                    <w:tr2bl w:val="nil"/>
                  </w:tcBorders>
                  <w:vAlign w:val="center"/>
                </w:tcPr>
                <w:p>
                  <w:pPr>
                    <w:jc w:val="cente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8.07</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cs="Times New Roman"/>
                      <w:color w:val="000000" w:themeColor="text1"/>
                      <w:sz w:val="18"/>
                      <w:szCs w:val="18"/>
                      <w:highlight w:val="none"/>
                      <w:vertAlign w:val="superscript"/>
                      <w:lang w:val="en-US" w:eastAsia="zh-CN"/>
                      <w14:textFill>
                        <w14:solidFill>
                          <w14:schemeClr w14:val="tx1"/>
                        </w14:solidFill>
                      </w14:textFill>
                    </w:rPr>
                    <w:t>-2</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817"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489" w:type="pct"/>
                  <w:vMerge w:val="restart"/>
                  <w:tcBorders>
                    <w:tl2br w:val="nil"/>
                    <w:tr2bl w:val="nil"/>
                  </w:tcBorders>
                  <w:vAlign w:val="center"/>
                </w:tcPr>
                <w:p>
                  <w:pPr>
                    <w:jc w:val="center"/>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eastAsia" w:cs="Times New Roman"/>
                      <w:color w:val="000000" w:themeColor="text1"/>
                      <w:sz w:val="18"/>
                      <w:szCs w:val="18"/>
                      <w:highlight w:val="none"/>
                      <w:lang w:eastAsia="zh-CN"/>
                      <w14:textFill>
                        <w14:solidFill>
                          <w14:schemeClr w14:val="tx1"/>
                        </w14:solidFill>
                      </w14:textFill>
                    </w:rPr>
                    <w:t>苯</w:t>
                  </w:r>
                </w:p>
              </w:tc>
              <w:tc>
                <w:tcPr>
                  <w:tcW w:w="902" w:type="pct"/>
                  <w:tcBorders>
                    <w:tl2br w:val="nil"/>
                    <w:tr2bl w:val="nil"/>
                  </w:tcBorders>
                  <w:vAlign w:val="center"/>
                </w:tcPr>
                <w:p>
                  <w:pPr>
                    <w:pStyle w:val="69"/>
                    <w:jc w:val="cente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pP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实测浓度</w:t>
                  </w:r>
                  <w:r>
                    <w:rPr>
                      <w:rFonts w:hint="default" w:ascii="Times New Roman" w:hAnsi="Times New Roman" w:cs="Times New Roman"/>
                      <w:color w:val="000000" w:themeColor="text1"/>
                      <w:sz w:val="18"/>
                      <w:szCs w:val="18"/>
                      <w:highlight w:val="none"/>
                      <w:lang w:eastAsia="zh-CN"/>
                      <w14:textFill>
                        <w14:solidFill>
                          <w14:schemeClr w14:val="tx1"/>
                        </w14:solidFill>
                      </w14:textFill>
                    </w:rPr>
                    <w:t>mg/m</w:t>
                  </w:r>
                  <w:r>
                    <w:rPr>
                      <w:rFonts w:hint="default" w:ascii="Times New Roman" w:hAnsi="Times New Roman" w:cs="Times New Roman"/>
                      <w:color w:val="000000" w:themeColor="text1"/>
                      <w:sz w:val="18"/>
                      <w:szCs w:val="18"/>
                      <w:highlight w:val="none"/>
                      <w:vertAlign w:val="superscript"/>
                      <w:lang w:eastAsia="zh-CN"/>
                      <w14:textFill>
                        <w14:solidFill>
                          <w14:schemeClr w14:val="tx1"/>
                        </w14:solidFill>
                      </w14:textFill>
                    </w:rPr>
                    <w:t>3</w:t>
                  </w:r>
                </w:p>
              </w:tc>
              <w:tc>
                <w:tcPr>
                  <w:tcW w:w="578" w:type="pct"/>
                  <w:tcBorders>
                    <w:tl2br w:val="nil"/>
                    <w:tr2bl w:val="nil"/>
                  </w:tcBorders>
                  <w:vAlign w:val="center"/>
                </w:tcPr>
                <w:p>
                  <w:pPr>
                    <w:pStyle w:val="69"/>
                    <w:jc w:val="cente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2.27</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cs="Times New Roman"/>
                      <w:color w:val="000000" w:themeColor="text1"/>
                      <w:sz w:val="18"/>
                      <w:szCs w:val="18"/>
                      <w:highlight w:val="none"/>
                      <w:vertAlign w:val="superscript"/>
                      <w:lang w:val="en-US" w:eastAsia="zh-CN"/>
                      <w14:textFill>
                        <w14:solidFill>
                          <w14:schemeClr w14:val="tx1"/>
                        </w14:solidFill>
                      </w14:textFill>
                    </w:rPr>
                    <w:t>-2</w:t>
                  </w:r>
                </w:p>
              </w:tc>
              <w:tc>
                <w:tcPr>
                  <w:tcW w:w="573" w:type="pct"/>
                  <w:tcBorders>
                    <w:tl2br w:val="nil"/>
                    <w:tr2bl w:val="nil"/>
                  </w:tcBorders>
                  <w:vAlign w:val="center"/>
                </w:tcPr>
                <w:p>
                  <w:pPr>
                    <w:jc w:val="cente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1.89</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cs="Times New Roman"/>
                      <w:color w:val="000000" w:themeColor="text1"/>
                      <w:sz w:val="18"/>
                      <w:szCs w:val="18"/>
                      <w:highlight w:val="none"/>
                      <w:vertAlign w:val="superscript"/>
                      <w:lang w:val="en-US" w:eastAsia="zh-CN"/>
                      <w14:textFill>
                        <w14:solidFill>
                          <w14:schemeClr w14:val="tx1"/>
                        </w14:solidFill>
                      </w14:textFill>
                    </w:rPr>
                    <w:t>-2</w:t>
                  </w:r>
                </w:p>
              </w:tc>
              <w:tc>
                <w:tcPr>
                  <w:tcW w:w="577" w:type="pct"/>
                  <w:tcBorders>
                    <w:tl2br w:val="nil"/>
                    <w:tr2bl w:val="nil"/>
                  </w:tcBorders>
                  <w:vAlign w:val="center"/>
                </w:tcPr>
                <w:p>
                  <w:pPr>
                    <w:jc w:val="cente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2.07</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cs="Times New Roman"/>
                      <w:color w:val="000000" w:themeColor="text1"/>
                      <w:sz w:val="18"/>
                      <w:szCs w:val="18"/>
                      <w:highlight w:val="none"/>
                      <w:vertAlign w:val="superscript"/>
                      <w:lang w:val="en-US" w:eastAsia="zh-CN"/>
                      <w14:textFill>
                        <w14:solidFill>
                          <w14:schemeClr w14:val="tx1"/>
                        </w14:solidFill>
                      </w14:textFill>
                    </w:rPr>
                    <w:t>-2</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817"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489"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902" w:type="pct"/>
                  <w:tcBorders>
                    <w:tl2br w:val="nil"/>
                    <w:tr2bl w:val="nil"/>
                  </w:tcBorders>
                  <w:vAlign w:val="center"/>
                </w:tcPr>
                <w:p>
                  <w:pPr>
                    <w:pStyle w:val="69"/>
                    <w:jc w:val="cente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pPr>
                  <w: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t>排放速率</w:t>
                  </w:r>
                  <w:r>
                    <w:rPr>
                      <w:rFonts w:hint="default" w:ascii="Times New Roman" w:hAnsi="Times New Roman" w:cs="Times New Roman"/>
                      <w:color w:val="000000" w:themeColor="text1"/>
                      <w:sz w:val="18"/>
                      <w:szCs w:val="18"/>
                      <w:highlight w:val="none"/>
                      <w:lang w:eastAsia="zh-CN"/>
                      <w14:textFill>
                        <w14:solidFill>
                          <w14:schemeClr w14:val="tx1"/>
                        </w14:solidFill>
                      </w14:textFill>
                    </w:rPr>
                    <w:t>kg/h</w:t>
                  </w:r>
                </w:p>
              </w:tc>
              <w:tc>
                <w:tcPr>
                  <w:tcW w:w="578" w:type="pct"/>
                  <w:tcBorders>
                    <w:tl2br w:val="nil"/>
                    <w:tr2bl w:val="nil"/>
                  </w:tcBorders>
                  <w:vAlign w:val="center"/>
                </w:tcPr>
                <w:p>
                  <w:pPr>
                    <w:pStyle w:val="69"/>
                    <w:jc w:val="cente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3.79</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cs="Times New Roman"/>
                      <w:color w:val="000000" w:themeColor="text1"/>
                      <w:sz w:val="18"/>
                      <w:szCs w:val="18"/>
                      <w:highlight w:val="none"/>
                      <w:vertAlign w:val="superscript"/>
                      <w:lang w:val="en-US" w:eastAsia="zh-CN"/>
                      <w14:textFill>
                        <w14:solidFill>
                          <w14:schemeClr w14:val="tx1"/>
                        </w14:solidFill>
                      </w14:textFill>
                    </w:rPr>
                    <w:t>-4</w:t>
                  </w:r>
                </w:p>
              </w:tc>
              <w:tc>
                <w:tcPr>
                  <w:tcW w:w="573" w:type="pct"/>
                  <w:tcBorders>
                    <w:tl2br w:val="nil"/>
                    <w:tr2bl w:val="nil"/>
                  </w:tcBorders>
                  <w:vAlign w:val="center"/>
                </w:tcPr>
                <w:p>
                  <w:pPr>
                    <w:jc w:val="cente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2.84</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cs="Times New Roman"/>
                      <w:color w:val="000000" w:themeColor="text1"/>
                      <w:sz w:val="18"/>
                      <w:szCs w:val="18"/>
                      <w:highlight w:val="none"/>
                      <w:vertAlign w:val="superscript"/>
                      <w:lang w:val="en-US" w:eastAsia="zh-CN"/>
                      <w14:textFill>
                        <w14:solidFill>
                          <w14:schemeClr w14:val="tx1"/>
                        </w14:solidFill>
                      </w14:textFill>
                    </w:rPr>
                    <w:t>-4</w:t>
                  </w:r>
                </w:p>
              </w:tc>
              <w:tc>
                <w:tcPr>
                  <w:tcW w:w="577" w:type="pct"/>
                  <w:tcBorders>
                    <w:tl2br w:val="nil"/>
                    <w:tr2bl w:val="nil"/>
                  </w:tcBorders>
                  <w:vAlign w:val="center"/>
                </w:tcPr>
                <w:p>
                  <w:pPr>
                    <w:jc w:val="cente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1.96</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cs="Times New Roman"/>
                      <w:color w:val="000000" w:themeColor="text1"/>
                      <w:sz w:val="18"/>
                      <w:szCs w:val="18"/>
                      <w:highlight w:val="none"/>
                      <w:vertAlign w:val="superscript"/>
                      <w:lang w:val="en-US" w:eastAsia="zh-CN"/>
                      <w14:textFill>
                        <w14:solidFill>
                          <w14:schemeClr w14:val="tx1"/>
                        </w14:solidFill>
                      </w14:textFill>
                    </w:rPr>
                    <w:t>-4</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817"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489" w:type="pct"/>
                  <w:vMerge w:val="restart"/>
                  <w:tcBorders>
                    <w:tl2br w:val="nil"/>
                    <w:tr2bl w:val="nil"/>
                  </w:tcBorders>
                  <w:vAlign w:val="center"/>
                </w:tcPr>
                <w:p>
                  <w:pPr>
                    <w:jc w:val="center"/>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eastAsia" w:cs="Times New Roman"/>
                      <w:color w:val="000000" w:themeColor="text1"/>
                      <w:sz w:val="18"/>
                      <w:szCs w:val="18"/>
                      <w:highlight w:val="none"/>
                      <w:lang w:eastAsia="zh-CN"/>
                      <w14:textFill>
                        <w14:solidFill>
                          <w14:schemeClr w14:val="tx1"/>
                        </w14:solidFill>
                      </w14:textFill>
                    </w:rPr>
                    <w:t>甲醇</w:t>
                  </w:r>
                </w:p>
              </w:tc>
              <w:tc>
                <w:tcPr>
                  <w:tcW w:w="902" w:type="pct"/>
                  <w:tcBorders>
                    <w:tl2br w:val="nil"/>
                    <w:tr2bl w:val="nil"/>
                  </w:tcBorders>
                  <w:vAlign w:val="center"/>
                </w:tcPr>
                <w:p>
                  <w:pPr>
                    <w:pStyle w:val="69"/>
                    <w:jc w:val="cente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pP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实测浓度</w:t>
                  </w:r>
                  <w:r>
                    <w:rPr>
                      <w:rFonts w:hint="default" w:ascii="Times New Roman" w:hAnsi="Times New Roman" w:cs="Times New Roman"/>
                      <w:color w:val="000000" w:themeColor="text1"/>
                      <w:sz w:val="18"/>
                      <w:szCs w:val="18"/>
                      <w:highlight w:val="none"/>
                      <w:lang w:eastAsia="zh-CN"/>
                      <w14:textFill>
                        <w14:solidFill>
                          <w14:schemeClr w14:val="tx1"/>
                        </w14:solidFill>
                      </w14:textFill>
                    </w:rPr>
                    <w:t>mg/m</w:t>
                  </w:r>
                  <w:r>
                    <w:rPr>
                      <w:rFonts w:hint="default" w:ascii="Times New Roman" w:hAnsi="Times New Roman" w:cs="Times New Roman"/>
                      <w:color w:val="000000" w:themeColor="text1"/>
                      <w:sz w:val="18"/>
                      <w:szCs w:val="18"/>
                      <w:highlight w:val="none"/>
                      <w:vertAlign w:val="superscript"/>
                      <w:lang w:eastAsia="zh-CN"/>
                      <w14:textFill>
                        <w14:solidFill>
                          <w14:schemeClr w14:val="tx1"/>
                        </w14:solidFill>
                      </w14:textFill>
                    </w:rPr>
                    <w:t>3</w:t>
                  </w:r>
                </w:p>
              </w:tc>
              <w:tc>
                <w:tcPr>
                  <w:tcW w:w="578" w:type="pct"/>
                  <w:tcBorders>
                    <w:tl2br w:val="nil"/>
                    <w:tr2bl w:val="nil"/>
                  </w:tcBorders>
                  <w:vAlign w:val="center"/>
                </w:tcPr>
                <w:p>
                  <w:pPr>
                    <w:pStyle w:val="69"/>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7.20</w:t>
                  </w:r>
                </w:p>
              </w:tc>
              <w:tc>
                <w:tcPr>
                  <w:tcW w:w="573" w:type="pct"/>
                  <w:tcBorders>
                    <w:tl2br w:val="nil"/>
                    <w:tr2bl w:val="nil"/>
                  </w:tcBorders>
                  <w:vAlign w:val="center"/>
                </w:tcPr>
                <w:p>
                  <w:pPr>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6.64</w:t>
                  </w:r>
                </w:p>
              </w:tc>
              <w:tc>
                <w:tcPr>
                  <w:tcW w:w="577" w:type="pct"/>
                  <w:tcBorders>
                    <w:tl2br w:val="nil"/>
                    <w:tr2bl w:val="nil"/>
                  </w:tcBorders>
                  <w:vAlign w:val="center"/>
                </w:tcPr>
                <w:p>
                  <w:pPr>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8.19</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817"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489"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902" w:type="pct"/>
                  <w:tcBorders>
                    <w:tl2br w:val="nil"/>
                    <w:tr2bl w:val="nil"/>
                  </w:tcBorders>
                  <w:vAlign w:val="center"/>
                </w:tcPr>
                <w:p>
                  <w:pPr>
                    <w:pStyle w:val="69"/>
                    <w:jc w:val="cente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pPr>
                  <w: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t>排放速率</w:t>
                  </w:r>
                  <w:r>
                    <w:rPr>
                      <w:rFonts w:hint="default" w:ascii="Times New Roman" w:hAnsi="Times New Roman" w:cs="Times New Roman"/>
                      <w:color w:val="000000" w:themeColor="text1"/>
                      <w:sz w:val="18"/>
                      <w:szCs w:val="18"/>
                      <w:highlight w:val="none"/>
                      <w:lang w:eastAsia="zh-CN"/>
                      <w14:textFill>
                        <w14:solidFill>
                          <w14:schemeClr w14:val="tx1"/>
                        </w14:solidFill>
                      </w14:textFill>
                    </w:rPr>
                    <w:t>kg/h</w:t>
                  </w:r>
                </w:p>
              </w:tc>
              <w:tc>
                <w:tcPr>
                  <w:tcW w:w="578" w:type="pct"/>
                  <w:tcBorders>
                    <w:tl2br w:val="nil"/>
                    <w:tr2bl w:val="nil"/>
                  </w:tcBorders>
                  <w:vAlign w:val="center"/>
                </w:tcPr>
                <w:p>
                  <w:pPr>
                    <w:pStyle w:val="69"/>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1.20</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cs="Times New Roman"/>
                      <w:color w:val="000000" w:themeColor="text1"/>
                      <w:sz w:val="18"/>
                      <w:szCs w:val="18"/>
                      <w:highlight w:val="none"/>
                      <w:vertAlign w:val="superscript"/>
                      <w:lang w:val="en-US" w:eastAsia="zh-CN"/>
                      <w14:textFill>
                        <w14:solidFill>
                          <w14:schemeClr w14:val="tx1"/>
                        </w14:solidFill>
                      </w14:textFill>
                    </w:rPr>
                    <w:t>-</w:t>
                  </w:r>
                  <w:r>
                    <w:rPr>
                      <w:rFonts w:hint="eastAsia" w:ascii="Times New Roman" w:hAnsi="Times New Roman" w:cs="Times New Roman"/>
                      <w:color w:val="000000" w:themeColor="text1"/>
                      <w:sz w:val="18"/>
                      <w:szCs w:val="18"/>
                      <w:highlight w:val="none"/>
                      <w:vertAlign w:val="superscript"/>
                      <w:lang w:val="en-US" w:eastAsia="zh-CN"/>
                      <w14:textFill>
                        <w14:solidFill>
                          <w14:schemeClr w14:val="tx1"/>
                        </w14:solidFill>
                      </w14:textFill>
                    </w:rPr>
                    <w:t>1</w:t>
                  </w:r>
                </w:p>
              </w:tc>
              <w:tc>
                <w:tcPr>
                  <w:tcW w:w="573" w:type="pct"/>
                  <w:tcBorders>
                    <w:tl2br w:val="nil"/>
                    <w:tr2bl w:val="nil"/>
                  </w:tcBorders>
                  <w:vAlign w:val="center"/>
                </w:tcPr>
                <w:p>
                  <w:pPr>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9.96</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cs="Times New Roman"/>
                      <w:color w:val="000000" w:themeColor="text1"/>
                      <w:sz w:val="18"/>
                      <w:szCs w:val="18"/>
                      <w:highlight w:val="none"/>
                      <w:vertAlign w:val="superscript"/>
                      <w:lang w:val="en-US" w:eastAsia="zh-CN"/>
                      <w14:textFill>
                        <w14:solidFill>
                          <w14:schemeClr w14:val="tx1"/>
                        </w14:solidFill>
                      </w14:textFill>
                    </w:rPr>
                    <w:t>-2</w:t>
                  </w:r>
                </w:p>
              </w:tc>
              <w:tc>
                <w:tcPr>
                  <w:tcW w:w="577" w:type="pct"/>
                  <w:tcBorders>
                    <w:tl2br w:val="nil"/>
                    <w:tr2bl w:val="nil"/>
                  </w:tcBorders>
                  <w:vAlign w:val="center"/>
                </w:tcPr>
                <w:p>
                  <w:pPr>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7.75</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cs="Times New Roman"/>
                      <w:color w:val="000000" w:themeColor="text1"/>
                      <w:sz w:val="18"/>
                      <w:szCs w:val="18"/>
                      <w:highlight w:val="none"/>
                      <w:vertAlign w:val="superscript"/>
                      <w:lang w:val="en-US" w:eastAsia="zh-CN"/>
                      <w14:textFill>
                        <w14:solidFill>
                          <w14:schemeClr w14:val="tx1"/>
                        </w14:solidFill>
                      </w14:textFill>
                    </w:rPr>
                    <w:t>-2</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817"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489" w:type="pct"/>
                  <w:vMerge w:val="restart"/>
                  <w:tcBorders>
                    <w:tl2br w:val="nil"/>
                    <w:tr2bl w:val="nil"/>
                  </w:tcBorders>
                  <w:vAlign w:val="center"/>
                </w:tcPr>
                <w:p>
                  <w:pPr>
                    <w:jc w:val="center"/>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eastAsia" w:cs="Times New Roman"/>
                      <w:color w:val="000000" w:themeColor="text1"/>
                      <w:sz w:val="18"/>
                      <w:szCs w:val="18"/>
                      <w:highlight w:val="none"/>
                      <w:lang w:eastAsia="zh-CN"/>
                      <w14:textFill>
                        <w14:solidFill>
                          <w14:schemeClr w14:val="tx1"/>
                        </w14:solidFill>
                      </w14:textFill>
                    </w:rPr>
                    <w:t>硫酸雾</w:t>
                  </w:r>
                </w:p>
              </w:tc>
              <w:tc>
                <w:tcPr>
                  <w:tcW w:w="902" w:type="pct"/>
                  <w:tcBorders>
                    <w:tl2br w:val="nil"/>
                    <w:tr2bl w:val="nil"/>
                  </w:tcBorders>
                  <w:vAlign w:val="center"/>
                </w:tcPr>
                <w:p>
                  <w:pPr>
                    <w:pStyle w:val="69"/>
                    <w:jc w:val="cente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pP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实测浓度</w:t>
                  </w:r>
                  <w:r>
                    <w:rPr>
                      <w:rFonts w:hint="default" w:ascii="Times New Roman" w:hAnsi="Times New Roman" w:cs="Times New Roman"/>
                      <w:color w:val="000000" w:themeColor="text1"/>
                      <w:sz w:val="18"/>
                      <w:szCs w:val="18"/>
                      <w:highlight w:val="none"/>
                      <w:lang w:eastAsia="zh-CN"/>
                      <w14:textFill>
                        <w14:solidFill>
                          <w14:schemeClr w14:val="tx1"/>
                        </w14:solidFill>
                      </w14:textFill>
                    </w:rPr>
                    <w:t>mg/m</w:t>
                  </w:r>
                  <w:r>
                    <w:rPr>
                      <w:rFonts w:hint="default" w:ascii="Times New Roman" w:hAnsi="Times New Roman" w:cs="Times New Roman"/>
                      <w:color w:val="000000" w:themeColor="text1"/>
                      <w:sz w:val="18"/>
                      <w:szCs w:val="18"/>
                      <w:highlight w:val="none"/>
                      <w:vertAlign w:val="superscript"/>
                      <w:lang w:eastAsia="zh-CN"/>
                      <w14:textFill>
                        <w14:solidFill>
                          <w14:schemeClr w14:val="tx1"/>
                        </w14:solidFill>
                      </w14:textFill>
                    </w:rPr>
                    <w:t>3</w:t>
                  </w:r>
                </w:p>
              </w:tc>
              <w:tc>
                <w:tcPr>
                  <w:tcW w:w="578" w:type="pct"/>
                  <w:tcBorders>
                    <w:tl2br w:val="nil"/>
                    <w:tr2bl w:val="nil"/>
                  </w:tcBorders>
                  <w:vAlign w:val="center"/>
                </w:tcPr>
                <w:p>
                  <w:pPr>
                    <w:pStyle w:val="69"/>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18.9</w:t>
                  </w:r>
                </w:p>
              </w:tc>
              <w:tc>
                <w:tcPr>
                  <w:tcW w:w="573" w:type="pct"/>
                  <w:tcBorders>
                    <w:tl2br w:val="nil"/>
                    <w:tr2bl w:val="nil"/>
                  </w:tcBorders>
                  <w:vAlign w:val="center"/>
                </w:tcPr>
                <w:p>
                  <w:pPr>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16.8</w:t>
                  </w:r>
                </w:p>
              </w:tc>
              <w:tc>
                <w:tcPr>
                  <w:tcW w:w="577" w:type="pct"/>
                  <w:tcBorders>
                    <w:tl2br w:val="nil"/>
                    <w:tr2bl w:val="nil"/>
                  </w:tcBorders>
                  <w:vAlign w:val="center"/>
                </w:tcPr>
                <w:p>
                  <w:pPr>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16.4</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817"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489"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902" w:type="pct"/>
                  <w:tcBorders>
                    <w:tl2br w:val="nil"/>
                    <w:tr2bl w:val="nil"/>
                  </w:tcBorders>
                  <w:vAlign w:val="center"/>
                </w:tcPr>
                <w:p>
                  <w:pPr>
                    <w:pStyle w:val="69"/>
                    <w:jc w:val="cente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pPr>
                  <w: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t>排放速率</w:t>
                  </w:r>
                  <w:r>
                    <w:rPr>
                      <w:rFonts w:hint="default" w:ascii="Times New Roman" w:hAnsi="Times New Roman" w:cs="Times New Roman"/>
                      <w:color w:val="000000" w:themeColor="text1"/>
                      <w:sz w:val="18"/>
                      <w:szCs w:val="18"/>
                      <w:highlight w:val="none"/>
                      <w:lang w:eastAsia="zh-CN"/>
                      <w14:textFill>
                        <w14:solidFill>
                          <w14:schemeClr w14:val="tx1"/>
                        </w14:solidFill>
                      </w14:textFill>
                    </w:rPr>
                    <w:t>kg/h</w:t>
                  </w:r>
                </w:p>
              </w:tc>
              <w:tc>
                <w:tcPr>
                  <w:tcW w:w="578" w:type="pct"/>
                  <w:tcBorders>
                    <w:tl2br w:val="nil"/>
                    <w:tr2bl w:val="nil"/>
                  </w:tcBorders>
                  <w:vAlign w:val="center"/>
                </w:tcPr>
                <w:p>
                  <w:pPr>
                    <w:pStyle w:val="69"/>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3.16</w:t>
                  </w:r>
                </w:p>
              </w:tc>
              <w:tc>
                <w:tcPr>
                  <w:tcW w:w="573" w:type="pct"/>
                  <w:tcBorders>
                    <w:tl2br w:val="nil"/>
                    <w:tr2bl w:val="nil"/>
                  </w:tcBorders>
                  <w:vAlign w:val="center"/>
                </w:tcPr>
                <w:p>
                  <w:pPr>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2.52</w:t>
                  </w:r>
                </w:p>
              </w:tc>
              <w:tc>
                <w:tcPr>
                  <w:tcW w:w="577" w:type="pct"/>
                  <w:tcBorders>
                    <w:tl2br w:val="nil"/>
                    <w:tr2bl w:val="nil"/>
                  </w:tcBorders>
                  <w:vAlign w:val="center"/>
                </w:tcPr>
                <w:p>
                  <w:pPr>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1.55</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817"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489" w:type="pct"/>
                  <w:vMerge w:val="restart"/>
                  <w:tcBorders>
                    <w:tl2br w:val="nil"/>
                    <w:tr2bl w:val="nil"/>
                  </w:tcBorders>
                  <w:vAlign w:val="center"/>
                </w:tcPr>
                <w:p>
                  <w:pPr>
                    <w:jc w:val="center"/>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eastAsia" w:cs="Times New Roman"/>
                      <w:color w:val="000000" w:themeColor="text1"/>
                      <w:sz w:val="18"/>
                      <w:szCs w:val="18"/>
                      <w:highlight w:val="none"/>
                      <w:lang w:eastAsia="zh-CN"/>
                      <w14:textFill>
                        <w14:solidFill>
                          <w14:schemeClr w14:val="tx1"/>
                        </w14:solidFill>
                      </w14:textFill>
                    </w:rPr>
                    <w:t>氮氧化物</w:t>
                  </w:r>
                </w:p>
              </w:tc>
              <w:tc>
                <w:tcPr>
                  <w:tcW w:w="902" w:type="pct"/>
                  <w:tcBorders>
                    <w:tl2br w:val="nil"/>
                    <w:tr2bl w:val="nil"/>
                  </w:tcBorders>
                  <w:vAlign w:val="center"/>
                </w:tcPr>
                <w:p>
                  <w:pPr>
                    <w:pStyle w:val="69"/>
                    <w:jc w:val="cente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pP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实测浓度</w:t>
                  </w:r>
                  <w:r>
                    <w:rPr>
                      <w:rFonts w:hint="default" w:ascii="Times New Roman" w:hAnsi="Times New Roman" w:cs="Times New Roman"/>
                      <w:color w:val="000000" w:themeColor="text1"/>
                      <w:sz w:val="18"/>
                      <w:szCs w:val="18"/>
                      <w:highlight w:val="none"/>
                      <w:lang w:eastAsia="zh-CN"/>
                      <w14:textFill>
                        <w14:solidFill>
                          <w14:schemeClr w14:val="tx1"/>
                        </w14:solidFill>
                      </w14:textFill>
                    </w:rPr>
                    <w:t>mg/m</w:t>
                  </w:r>
                  <w:r>
                    <w:rPr>
                      <w:rFonts w:hint="default" w:ascii="Times New Roman" w:hAnsi="Times New Roman" w:cs="Times New Roman"/>
                      <w:color w:val="000000" w:themeColor="text1"/>
                      <w:sz w:val="18"/>
                      <w:szCs w:val="18"/>
                      <w:highlight w:val="none"/>
                      <w:vertAlign w:val="superscript"/>
                      <w:lang w:eastAsia="zh-CN"/>
                      <w14:textFill>
                        <w14:solidFill>
                          <w14:schemeClr w14:val="tx1"/>
                        </w14:solidFill>
                      </w14:textFill>
                    </w:rPr>
                    <w:t>3</w:t>
                  </w:r>
                </w:p>
              </w:tc>
              <w:tc>
                <w:tcPr>
                  <w:tcW w:w="578" w:type="pct"/>
                  <w:tcBorders>
                    <w:tl2br w:val="nil"/>
                    <w:tr2bl w:val="nil"/>
                  </w:tcBorders>
                  <w:vAlign w:val="center"/>
                </w:tcPr>
                <w:p>
                  <w:pPr>
                    <w:pStyle w:val="69"/>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59</w:t>
                  </w:r>
                </w:p>
              </w:tc>
              <w:tc>
                <w:tcPr>
                  <w:tcW w:w="573" w:type="pct"/>
                  <w:tcBorders>
                    <w:tl2br w:val="nil"/>
                    <w:tr2bl w:val="nil"/>
                  </w:tcBorders>
                  <w:vAlign w:val="center"/>
                </w:tcPr>
                <w:p>
                  <w:pPr>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70</w:t>
                  </w:r>
                </w:p>
              </w:tc>
              <w:tc>
                <w:tcPr>
                  <w:tcW w:w="577" w:type="pct"/>
                  <w:tcBorders>
                    <w:tl2br w:val="nil"/>
                    <w:tr2bl w:val="nil"/>
                  </w:tcBorders>
                  <w:vAlign w:val="center"/>
                </w:tcPr>
                <w:p>
                  <w:pPr>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62</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817"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489"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902" w:type="pct"/>
                  <w:tcBorders>
                    <w:tl2br w:val="nil"/>
                    <w:tr2bl w:val="nil"/>
                  </w:tcBorders>
                  <w:vAlign w:val="center"/>
                </w:tcPr>
                <w:p>
                  <w:pPr>
                    <w:pStyle w:val="69"/>
                    <w:jc w:val="cente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pPr>
                  <w: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t>排放速率</w:t>
                  </w:r>
                  <w:r>
                    <w:rPr>
                      <w:rFonts w:hint="default" w:ascii="Times New Roman" w:hAnsi="Times New Roman" w:cs="Times New Roman"/>
                      <w:color w:val="000000" w:themeColor="text1"/>
                      <w:sz w:val="18"/>
                      <w:szCs w:val="18"/>
                      <w:highlight w:val="none"/>
                      <w:lang w:eastAsia="zh-CN"/>
                      <w14:textFill>
                        <w14:solidFill>
                          <w14:schemeClr w14:val="tx1"/>
                        </w14:solidFill>
                      </w14:textFill>
                    </w:rPr>
                    <w:t>kg/h</w:t>
                  </w:r>
                </w:p>
              </w:tc>
              <w:tc>
                <w:tcPr>
                  <w:tcW w:w="578" w:type="pct"/>
                  <w:tcBorders>
                    <w:tl2br w:val="nil"/>
                    <w:tr2bl w:val="nil"/>
                  </w:tcBorders>
                  <w:vAlign w:val="center"/>
                </w:tcPr>
                <w:p>
                  <w:pPr>
                    <w:pStyle w:val="69"/>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0.985</w:t>
                  </w:r>
                </w:p>
              </w:tc>
              <w:tc>
                <w:tcPr>
                  <w:tcW w:w="573" w:type="pct"/>
                  <w:tcBorders>
                    <w:tl2br w:val="nil"/>
                    <w:tr2bl w:val="nil"/>
                  </w:tcBorders>
                  <w:vAlign w:val="center"/>
                </w:tcPr>
                <w:p>
                  <w:pPr>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1.05</w:t>
                  </w:r>
                </w:p>
              </w:tc>
              <w:tc>
                <w:tcPr>
                  <w:tcW w:w="577" w:type="pct"/>
                  <w:tcBorders>
                    <w:tl2br w:val="nil"/>
                    <w:tr2bl w:val="nil"/>
                  </w:tcBorders>
                  <w:vAlign w:val="center"/>
                </w:tcPr>
                <w:p>
                  <w:pPr>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0.587</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817"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489" w:type="pct"/>
                  <w:vMerge w:val="restart"/>
                  <w:tcBorders>
                    <w:tl2br w:val="nil"/>
                    <w:tr2bl w:val="nil"/>
                  </w:tcBorders>
                  <w:vAlign w:val="center"/>
                </w:tcPr>
                <w:p>
                  <w:pPr>
                    <w:jc w:val="center"/>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eastAsia" w:cs="Times New Roman"/>
                      <w:color w:val="000000" w:themeColor="text1"/>
                      <w:sz w:val="18"/>
                      <w:szCs w:val="18"/>
                      <w:highlight w:val="none"/>
                      <w:lang w:eastAsia="zh-CN"/>
                      <w14:textFill>
                        <w14:solidFill>
                          <w14:schemeClr w14:val="tx1"/>
                        </w14:solidFill>
                      </w14:textFill>
                    </w:rPr>
                    <w:t>氯化氢</w:t>
                  </w:r>
                </w:p>
              </w:tc>
              <w:tc>
                <w:tcPr>
                  <w:tcW w:w="902" w:type="pct"/>
                  <w:tcBorders>
                    <w:tl2br w:val="nil"/>
                    <w:tr2bl w:val="nil"/>
                  </w:tcBorders>
                  <w:vAlign w:val="center"/>
                </w:tcPr>
                <w:p>
                  <w:pPr>
                    <w:pStyle w:val="69"/>
                    <w:jc w:val="cente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pPr>
                  <w:r>
                    <w:rPr>
                      <w:rFonts w:hint="default" w:ascii="Times New Roman" w:hAnsi="Times New Roman" w:cs="Times New Roman"/>
                      <w:color w:val="000000" w:themeColor="text1"/>
                      <w:spacing w:val="-1"/>
                      <w:sz w:val="18"/>
                      <w:szCs w:val="18"/>
                      <w:highlight w:val="none"/>
                      <w:lang w:eastAsia="zh-CN"/>
                      <w14:textFill>
                        <w14:solidFill>
                          <w14:schemeClr w14:val="tx1"/>
                        </w14:solidFill>
                      </w14:textFill>
                    </w:rPr>
                    <w:t>实测浓度</w:t>
                  </w:r>
                  <w:r>
                    <w:rPr>
                      <w:rFonts w:hint="default" w:ascii="Times New Roman" w:hAnsi="Times New Roman" w:cs="Times New Roman"/>
                      <w:color w:val="000000" w:themeColor="text1"/>
                      <w:sz w:val="18"/>
                      <w:szCs w:val="18"/>
                      <w:highlight w:val="none"/>
                      <w:lang w:eastAsia="zh-CN"/>
                      <w14:textFill>
                        <w14:solidFill>
                          <w14:schemeClr w14:val="tx1"/>
                        </w14:solidFill>
                      </w14:textFill>
                    </w:rPr>
                    <w:t>mg/m</w:t>
                  </w:r>
                  <w:r>
                    <w:rPr>
                      <w:rFonts w:hint="default" w:ascii="Times New Roman" w:hAnsi="Times New Roman" w:cs="Times New Roman"/>
                      <w:color w:val="000000" w:themeColor="text1"/>
                      <w:sz w:val="18"/>
                      <w:szCs w:val="18"/>
                      <w:highlight w:val="none"/>
                      <w:vertAlign w:val="superscript"/>
                      <w:lang w:eastAsia="zh-CN"/>
                      <w14:textFill>
                        <w14:solidFill>
                          <w14:schemeClr w14:val="tx1"/>
                        </w14:solidFill>
                      </w14:textFill>
                    </w:rPr>
                    <w:t>3</w:t>
                  </w:r>
                </w:p>
              </w:tc>
              <w:tc>
                <w:tcPr>
                  <w:tcW w:w="578" w:type="pct"/>
                  <w:tcBorders>
                    <w:tl2br w:val="nil"/>
                    <w:tr2bl w:val="nil"/>
                  </w:tcBorders>
                  <w:vAlign w:val="center"/>
                </w:tcPr>
                <w:p>
                  <w:pPr>
                    <w:pStyle w:val="69"/>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3.38</w:t>
                  </w:r>
                </w:p>
              </w:tc>
              <w:tc>
                <w:tcPr>
                  <w:tcW w:w="573" w:type="pct"/>
                  <w:tcBorders>
                    <w:tl2br w:val="nil"/>
                    <w:tr2bl w:val="nil"/>
                  </w:tcBorders>
                  <w:vAlign w:val="center"/>
                </w:tcPr>
                <w:p>
                  <w:pPr>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5.08</w:t>
                  </w:r>
                </w:p>
              </w:tc>
              <w:tc>
                <w:tcPr>
                  <w:tcW w:w="577" w:type="pct"/>
                  <w:tcBorders>
                    <w:tl2br w:val="nil"/>
                    <w:tr2bl w:val="nil"/>
                  </w:tcBorders>
                  <w:vAlign w:val="center"/>
                </w:tcPr>
                <w:p>
                  <w:pPr>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5.24</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817"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658"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489"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902" w:type="pct"/>
                  <w:tcBorders>
                    <w:tl2br w:val="nil"/>
                    <w:tr2bl w:val="nil"/>
                  </w:tcBorders>
                  <w:vAlign w:val="center"/>
                </w:tcPr>
                <w:p>
                  <w:pPr>
                    <w:pStyle w:val="69"/>
                    <w:jc w:val="cente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pPr>
                  <w:r>
                    <w:rPr>
                      <w:rFonts w:hint="default" w:ascii="Times New Roman" w:hAnsi="Times New Roman" w:cs="Times New Roman"/>
                      <w:color w:val="000000" w:themeColor="text1"/>
                      <w:spacing w:val="20"/>
                      <w:sz w:val="18"/>
                      <w:szCs w:val="18"/>
                      <w:highlight w:val="none"/>
                      <w:lang w:eastAsia="zh-CN"/>
                      <w14:textFill>
                        <w14:solidFill>
                          <w14:schemeClr w14:val="tx1"/>
                        </w14:solidFill>
                      </w14:textFill>
                    </w:rPr>
                    <w:t>排放速率</w:t>
                  </w:r>
                  <w:r>
                    <w:rPr>
                      <w:rFonts w:hint="default" w:ascii="Times New Roman" w:hAnsi="Times New Roman" w:cs="Times New Roman"/>
                      <w:color w:val="000000" w:themeColor="text1"/>
                      <w:sz w:val="18"/>
                      <w:szCs w:val="18"/>
                      <w:highlight w:val="none"/>
                      <w:lang w:eastAsia="zh-CN"/>
                      <w14:textFill>
                        <w14:solidFill>
                          <w14:schemeClr w14:val="tx1"/>
                        </w14:solidFill>
                      </w14:textFill>
                    </w:rPr>
                    <w:t>kg/h</w:t>
                  </w:r>
                </w:p>
              </w:tc>
              <w:tc>
                <w:tcPr>
                  <w:tcW w:w="578" w:type="pct"/>
                  <w:tcBorders>
                    <w:tl2br w:val="nil"/>
                    <w:tr2bl w:val="nil"/>
                  </w:tcBorders>
                  <w:vAlign w:val="center"/>
                </w:tcPr>
                <w:p>
                  <w:pPr>
                    <w:pStyle w:val="69"/>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5.65</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cs="Times New Roman"/>
                      <w:color w:val="000000" w:themeColor="text1"/>
                      <w:sz w:val="18"/>
                      <w:szCs w:val="18"/>
                      <w:highlight w:val="none"/>
                      <w:vertAlign w:val="superscript"/>
                      <w:lang w:val="en-US" w:eastAsia="zh-CN"/>
                      <w14:textFill>
                        <w14:solidFill>
                          <w14:schemeClr w14:val="tx1"/>
                        </w14:solidFill>
                      </w14:textFill>
                    </w:rPr>
                    <w:t>-2</w:t>
                  </w:r>
                </w:p>
              </w:tc>
              <w:tc>
                <w:tcPr>
                  <w:tcW w:w="573" w:type="pct"/>
                  <w:tcBorders>
                    <w:tl2br w:val="nil"/>
                    <w:tr2bl w:val="nil"/>
                  </w:tcBorders>
                  <w:vAlign w:val="center"/>
                </w:tcPr>
                <w:p>
                  <w:pPr>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7.62</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cs="Times New Roman"/>
                      <w:color w:val="000000" w:themeColor="text1"/>
                      <w:sz w:val="18"/>
                      <w:szCs w:val="18"/>
                      <w:highlight w:val="none"/>
                      <w:vertAlign w:val="superscript"/>
                      <w:lang w:val="en-US" w:eastAsia="zh-CN"/>
                      <w14:textFill>
                        <w14:solidFill>
                          <w14:schemeClr w14:val="tx1"/>
                        </w14:solidFill>
                      </w14:textFill>
                    </w:rPr>
                    <w:t>-2</w:t>
                  </w:r>
                </w:p>
              </w:tc>
              <w:tc>
                <w:tcPr>
                  <w:tcW w:w="577" w:type="pct"/>
                  <w:tcBorders>
                    <w:tl2br w:val="nil"/>
                    <w:tr2bl w:val="nil"/>
                  </w:tcBorders>
                  <w:vAlign w:val="center"/>
                </w:tcPr>
                <w:p>
                  <w:pPr>
                    <w:jc w:val="center"/>
                    <w:rPr>
                      <w:rFonts w:hint="default" w:ascii="Times New Roman" w:hAnsi="Times New Roman"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4.96</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cs="Times New Roman"/>
                      <w:color w:val="000000" w:themeColor="text1"/>
                      <w:sz w:val="18"/>
                      <w:szCs w:val="18"/>
                      <w:highlight w:val="none"/>
                      <w:vertAlign w:val="superscript"/>
                      <w:lang w:val="en-US" w:eastAsia="zh-CN"/>
                      <w14:textFill>
                        <w14:solidFill>
                          <w14:schemeClr w14:val="tx1"/>
                        </w14:solidFill>
                      </w14:textFill>
                    </w:rPr>
                    <w:t>-2</w:t>
                  </w:r>
                </w:p>
              </w:tc>
              <w:tc>
                <w:tcPr>
                  <w:tcW w:w="401" w:type="pct"/>
                  <w:vMerge w:val="continue"/>
                  <w:tcBorders>
                    <w:tl2br w:val="nil"/>
                    <w:tr2bl w:val="nil"/>
                  </w:tcBorders>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bl>
          <w:p>
            <w:pPr>
              <w:adjustRightInd w:val="0"/>
              <w:snapToGrid w:val="0"/>
              <w:spacing w:line="360" w:lineRule="auto"/>
              <w:ind w:firstLine="480" w:firstLineChars="200"/>
              <w:rPr>
                <w:rFonts w:hint="eastAsia"/>
                <w:color w:val="000000" w:themeColor="text1"/>
                <w:sz w:val="24"/>
                <w:szCs w:val="24"/>
                <w:highlight w:val="none"/>
                <w:lang w:eastAsia="zh-CN"/>
                <w14:textFill>
                  <w14:solidFill>
                    <w14:schemeClr w14:val="tx1"/>
                  </w14:solidFill>
                </w14:textFill>
              </w:rPr>
            </w:pPr>
            <w:r>
              <w:rPr>
                <w:color w:val="000000" w:themeColor="text1"/>
                <w:sz w:val="24"/>
                <w:szCs w:val="24"/>
                <w:highlight w:val="none"/>
                <w14:textFill>
                  <w14:solidFill>
                    <w14:schemeClr w14:val="tx1"/>
                  </w14:solidFill>
                </w14:textFill>
              </w:rPr>
              <w:t>验收监测期间，非甲烷总烃</w:t>
            </w:r>
            <w:r>
              <w:rPr>
                <w:rFonts w:hint="eastAsia"/>
                <w:color w:val="000000" w:themeColor="text1"/>
                <w:sz w:val="24"/>
                <w:szCs w:val="24"/>
                <w:highlight w:val="none"/>
                <w:lang w:eastAsia="zh-CN"/>
                <w14:textFill>
                  <w14:solidFill>
                    <w14:schemeClr w14:val="tx1"/>
                  </w14:solidFill>
                </w14:textFill>
              </w:rPr>
              <w:t>、苯、甲醇、硫酸雾、氮氧化物、氯化氢</w:t>
            </w:r>
            <w:r>
              <w:rPr>
                <w:color w:val="000000" w:themeColor="text1"/>
                <w:sz w:val="24"/>
                <w:szCs w:val="24"/>
                <w:highlight w:val="none"/>
                <w14:textFill>
                  <w14:solidFill>
                    <w14:schemeClr w14:val="tx1"/>
                  </w14:solidFill>
                </w14:textFill>
              </w:rPr>
              <w:t>满足</w:t>
            </w:r>
            <w:r>
              <w:rPr>
                <w:rFonts w:hint="eastAsia"/>
                <w:color w:val="000000" w:themeColor="text1"/>
                <w:sz w:val="24"/>
                <w:szCs w:val="24"/>
                <w:highlight w:val="none"/>
                <w14:textFill>
                  <w14:solidFill>
                    <w14:schemeClr w14:val="tx1"/>
                  </w14:solidFill>
                </w14:textFill>
              </w:rPr>
              <w:t>《大气污染物综合排放标准》（GB16297-1996）</w:t>
            </w:r>
            <w:r>
              <w:rPr>
                <w:color w:val="000000" w:themeColor="text1"/>
                <w:sz w:val="24"/>
                <w:szCs w:val="24"/>
                <w:highlight w:val="none"/>
                <w14:textFill>
                  <w14:solidFill>
                    <w14:schemeClr w14:val="tx1"/>
                  </w14:solidFill>
                </w14:textFill>
              </w:rPr>
              <w:t>排放标准限值要求</w:t>
            </w:r>
            <w:r>
              <w:rPr>
                <w:rFonts w:hint="eastAsia"/>
                <w:color w:val="000000" w:themeColor="text1"/>
                <w:sz w:val="24"/>
                <w:szCs w:val="24"/>
                <w:highlight w:val="none"/>
                <w:lang w:eastAsia="zh-CN"/>
                <w14:textFill>
                  <w14:solidFill>
                    <w14:schemeClr w14:val="tx1"/>
                  </w14:solidFill>
                </w14:textFill>
              </w:rPr>
              <w:t>，氨、硫化氢、臭气浓度满足</w:t>
            </w:r>
            <w:r>
              <w:rPr>
                <w:color w:val="000000" w:themeColor="text1"/>
                <w:sz w:val="24"/>
                <w:szCs w:val="24"/>
                <w:highlight w:val="none"/>
                <w:lang w:val="zh-CN"/>
                <w14:textFill>
                  <w14:solidFill>
                    <w14:schemeClr w14:val="tx1"/>
                  </w14:solidFill>
                </w14:textFill>
              </w:rPr>
              <w:t>《恶臭污染物排放标准》（</w:t>
            </w:r>
            <w:r>
              <w:rPr>
                <w:color w:val="000000" w:themeColor="text1"/>
                <w:sz w:val="24"/>
                <w:szCs w:val="24"/>
                <w:highlight w:val="none"/>
                <w14:textFill>
                  <w14:solidFill>
                    <w14:schemeClr w14:val="tx1"/>
                  </w14:solidFill>
                </w14:textFill>
              </w:rPr>
              <w:t>GB</w:t>
            </w:r>
            <w:r>
              <w:rPr>
                <w:color w:val="000000" w:themeColor="text1"/>
                <w:sz w:val="24"/>
                <w:szCs w:val="24"/>
                <w:highlight w:val="none"/>
                <w:lang w:val="zh-CN"/>
                <w14:textFill>
                  <w14:solidFill>
                    <w14:schemeClr w14:val="tx1"/>
                  </w14:solidFill>
                </w14:textFill>
              </w:rPr>
              <w:t>14554-93）</w:t>
            </w:r>
            <w:r>
              <w:rPr>
                <w:color w:val="000000" w:themeColor="text1"/>
                <w:sz w:val="24"/>
                <w:szCs w:val="24"/>
                <w:highlight w:val="none"/>
                <w14:textFill>
                  <w14:solidFill>
                    <w14:schemeClr w14:val="tx1"/>
                  </w14:solidFill>
                </w14:textFill>
              </w:rPr>
              <w:t>排放标准限值要求</w:t>
            </w:r>
            <w:r>
              <w:rPr>
                <w:rFonts w:hint="eastAsia"/>
                <w:color w:val="000000" w:themeColor="text1"/>
                <w:sz w:val="24"/>
                <w:szCs w:val="24"/>
                <w:highlight w:val="none"/>
                <w:lang w:eastAsia="zh-CN"/>
                <w14:textFill>
                  <w14:solidFill>
                    <w14:schemeClr w14:val="tx1"/>
                  </w14:solidFill>
                </w14:textFill>
              </w:rPr>
              <w:t>。</w:t>
            </w:r>
          </w:p>
          <w:p>
            <w:pPr>
              <w:adjustRightInd w:val="0"/>
              <w:snapToGrid w:val="0"/>
              <w:spacing w:line="360" w:lineRule="auto"/>
              <w:ind w:firstLine="482" w:firstLineChars="200"/>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7.2.2 无组织废气排放监测结果及分析</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项目无组织排放废气监测结果见下表。</w:t>
            </w:r>
          </w:p>
          <w:p>
            <w:pPr>
              <w:jc w:val="center"/>
              <w:rPr>
                <w:color w:val="000000" w:themeColor="text1"/>
                <w14:textFill>
                  <w14:solidFill>
                    <w14:schemeClr w14:val="tx1"/>
                  </w14:solidFill>
                </w14:textFill>
              </w:rPr>
            </w:pPr>
            <w:r>
              <w:rPr>
                <w:b/>
                <w:color w:val="000000" w:themeColor="text1"/>
                <w:szCs w:val="21"/>
                <w:highlight w:val="none"/>
                <w14:textFill>
                  <w14:solidFill>
                    <w14:schemeClr w14:val="tx1"/>
                  </w14:solidFill>
                </w14:textFill>
              </w:rPr>
              <w:t xml:space="preserve">表7-1 </w:t>
            </w:r>
            <w:r>
              <w:rPr>
                <w:rFonts w:hint="eastAsia"/>
                <w:b/>
                <w:color w:val="000000" w:themeColor="text1"/>
                <w:szCs w:val="21"/>
                <w:highlight w:val="none"/>
                <w:lang w:eastAsia="zh-CN"/>
                <w14:textFill>
                  <w14:solidFill>
                    <w14:schemeClr w14:val="tx1"/>
                  </w14:solidFill>
                </w14:textFill>
              </w:rPr>
              <w:t>无</w:t>
            </w:r>
            <w:r>
              <w:rPr>
                <w:b/>
                <w:color w:val="000000" w:themeColor="text1"/>
                <w:szCs w:val="21"/>
                <w:highlight w:val="none"/>
                <w14:textFill>
                  <w14:solidFill>
                    <w14:schemeClr w14:val="tx1"/>
                  </w14:solidFill>
                </w14:textFill>
              </w:rPr>
              <w:t>组织废气监测结果一览表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
              <w:gridCol w:w="734"/>
              <w:gridCol w:w="949"/>
              <w:gridCol w:w="747"/>
              <w:gridCol w:w="759"/>
              <w:gridCol w:w="993"/>
              <w:gridCol w:w="690"/>
              <w:gridCol w:w="620"/>
              <w:gridCol w:w="621"/>
              <w:gridCol w:w="1021"/>
              <w:gridCol w:w="731"/>
              <w:gridCol w:w="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1143" w:type="pct"/>
                  <w:gridSpan w:val="3"/>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采样点位、采样时间及检测频次</w:t>
                  </w:r>
                </w:p>
              </w:tc>
              <w:tc>
                <w:tcPr>
                  <w:tcW w:w="412" w:type="pct"/>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t>臭气浓度</w:t>
                  </w:r>
                </w:p>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t>*(无量纲)</w:t>
                  </w:r>
                </w:p>
              </w:tc>
              <w:tc>
                <w:tcPr>
                  <w:tcW w:w="418" w:type="pct"/>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氨(mg/m</w:t>
                  </w:r>
                  <w:r>
                    <w:rPr>
                      <w:rFonts w:hint="default" w:ascii="Times New Roman" w:hAnsi="Times New Roman" w:eastAsia="宋体" w:cs="Times New Roman"/>
                      <w:color w:val="000000" w:themeColor="text1"/>
                      <w:spacing w:val="20"/>
                      <w:kern w:val="0"/>
                      <w:sz w:val="18"/>
                      <w:szCs w:val="18"/>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w:t>
                  </w:r>
                </w:p>
              </w:tc>
              <w:tc>
                <w:tcPr>
                  <w:tcW w:w="547" w:type="pct"/>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硫化氢(mg/m</w:t>
                  </w:r>
                  <w:r>
                    <w:rPr>
                      <w:rFonts w:hint="default" w:ascii="Times New Roman" w:hAnsi="Times New Roman" w:eastAsia="宋体" w:cs="Times New Roman"/>
                      <w:color w:val="000000" w:themeColor="text1"/>
                      <w:spacing w:val="20"/>
                      <w:kern w:val="0"/>
                      <w:sz w:val="18"/>
                      <w:szCs w:val="18"/>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w:t>
                  </w:r>
                </w:p>
              </w:tc>
              <w:tc>
                <w:tcPr>
                  <w:tcW w:w="380" w:type="pct"/>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非甲烷总烃(mg/m</w:t>
                  </w:r>
                  <w:r>
                    <w:rPr>
                      <w:rFonts w:hint="default" w:ascii="Times New Roman" w:hAnsi="Times New Roman" w:eastAsia="宋体" w:cs="Times New Roman"/>
                      <w:color w:val="000000" w:themeColor="text1"/>
                      <w:spacing w:val="20"/>
                      <w:kern w:val="0"/>
                      <w:sz w:val="18"/>
                      <w:szCs w:val="18"/>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w:t>
                  </w:r>
                </w:p>
              </w:tc>
              <w:tc>
                <w:tcPr>
                  <w:tcW w:w="342" w:type="pct"/>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苯(mg/m</w:t>
                  </w:r>
                  <w:r>
                    <w:rPr>
                      <w:rFonts w:hint="default" w:ascii="Times New Roman" w:hAnsi="Times New Roman" w:eastAsia="宋体" w:cs="Times New Roman"/>
                      <w:color w:val="000000" w:themeColor="text1"/>
                      <w:spacing w:val="20"/>
                      <w:kern w:val="0"/>
                      <w:sz w:val="18"/>
                      <w:szCs w:val="18"/>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w:t>
                  </w:r>
                </w:p>
              </w:tc>
              <w:tc>
                <w:tcPr>
                  <w:tcW w:w="342" w:type="pct"/>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甲醇(mg/m</w:t>
                  </w:r>
                  <w:r>
                    <w:rPr>
                      <w:rFonts w:hint="default" w:ascii="Times New Roman" w:hAnsi="Times New Roman" w:eastAsia="宋体" w:cs="Times New Roman"/>
                      <w:color w:val="000000" w:themeColor="text1"/>
                      <w:spacing w:val="20"/>
                      <w:kern w:val="0"/>
                      <w:sz w:val="18"/>
                      <w:szCs w:val="18"/>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w:t>
                  </w:r>
                </w:p>
              </w:tc>
              <w:tc>
                <w:tcPr>
                  <w:tcW w:w="563" w:type="pct"/>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硫酸雾(mg/m</w:t>
                  </w:r>
                  <w:r>
                    <w:rPr>
                      <w:rFonts w:hint="default" w:ascii="Times New Roman" w:hAnsi="Times New Roman" w:eastAsia="宋体" w:cs="Times New Roman"/>
                      <w:color w:val="000000" w:themeColor="text1"/>
                      <w:spacing w:val="20"/>
                      <w:kern w:val="0"/>
                      <w:sz w:val="18"/>
                      <w:szCs w:val="18"/>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w:t>
                  </w:r>
                </w:p>
              </w:tc>
              <w:tc>
                <w:tcPr>
                  <w:tcW w:w="403" w:type="pct"/>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氮氧化物(mg/m</w:t>
                  </w:r>
                  <w:r>
                    <w:rPr>
                      <w:rFonts w:hint="default" w:ascii="Times New Roman" w:hAnsi="Times New Roman" w:eastAsia="宋体" w:cs="Times New Roman"/>
                      <w:color w:val="000000" w:themeColor="text1"/>
                      <w:spacing w:val="20"/>
                      <w:kern w:val="0"/>
                      <w:sz w:val="18"/>
                      <w:szCs w:val="18"/>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w:t>
                  </w:r>
                </w:p>
              </w:tc>
              <w:tc>
                <w:tcPr>
                  <w:tcW w:w="445" w:type="pct"/>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氯化氢(mg/m</w:t>
                  </w:r>
                  <w:r>
                    <w:rPr>
                      <w:rFonts w:hint="default" w:ascii="Times New Roman" w:hAnsi="Times New Roman" w:eastAsia="宋体" w:cs="Times New Roman"/>
                      <w:color w:val="000000" w:themeColor="text1"/>
                      <w:spacing w:val="20"/>
                      <w:kern w:val="0"/>
                      <w:sz w:val="18"/>
                      <w:szCs w:val="18"/>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4" w:type="pct"/>
                  <w:vMerge w:val="restar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厂界上风向检测点</w:t>
                  </w:r>
                </w:p>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WQ01</w:t>
                  </w:r>
                </w:p>
              </w:tc>
              <w:tc>
                <w:tcPr>
                  <w:tcW w:w="405" w:type="pct"/>
                  <w:vMerge w:val="restar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2024.05.08</w:t>
                  </w:r>
                </w:p>
              </w:tc>
              <w:tc>
                <w:tcPr>
                  <w:tcW w:w="523"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第一次</w:t>
                  </w:r>
                </w:p>
              </w:tc>
              <w:tc>
                <w:tcPr>
                  <w:tcW w:w="41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＜10</w:t>
                  </w:r>
                </w:p>
              </w:tc>
              <w:tc>
                <w:tcPr>
                  <w:tcW w:w="418"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0.088</w:t>
                  </w:r>
                </w:p>
              </w:tc>
              <w:tc>
                <w:tcPr>
                  <w:tcW w:w="547"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5.93</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-3</w:t>
                  </w:r>
                </w:p>
              </w:tc>
              <w:tc>
                <w:tcPr>
                  <w:tcW w:w="380"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0.48</w:t>
                  </w:r>
                </w:p>
              </w:tc>
              <w:tc>
                <w:tcPr>
                  <w:tcW w:w="34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34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563"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403"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0.029</w:t>
                  </w:r>
                </w:p>
              </w:tc>
              <w:tc>
                <w:tcPr>
                  <w:tcW w:w="445"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14" w:type="pct"/>
                  <w:vMerge w:val="continue"/>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p>
              </w:tc>
              <w:tc>
                <w:tcPr>
                  <w:tcW w:w="405" w:type="pct"/>
                  <w:vMerge w:val="continue"/>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p>
              </w:tc>
              <w:tc>
                <w:tcPr>
                  <w:tcW w:w="523" w:type="pct"/>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第二次</w:t>
                  </w:r>
                </w:p>
              </w:tc>
              <w:tc>
                <w:tcPr>
                  <w:tcW w:w="41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＜10</w:t>
                  </w:r>
                </w:p>
              </w:tc>
              <w:tc>
                <w:tcPr>
                  <w:tcW w:w="418"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0.095</w:t>
                  </w:r>
                </w:p>
              </w:tc>
              <w:tc>
                <w:tcPr>
                  <w:tcW w:w="547"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6.33</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-3</w:t>
                  </w:r>
                </w:p>
              </w:tc>
              <w:tc>
                <w:tcPr>
                  <w:tcW w:w="380"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0.47</w:t>
                  </w:r>
                </w:p>
              </w:tc>
              <w:tc>
                <w:tcPr>
                  <w:tcW w:w="34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34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563"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403"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0.031</w:t>
                  </w:r>
                </w:p>
              </w:tc>
              <w:tc>
                <w:tcPr>
                  <w:tcW w:w="445"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14" w:type="pct"/>
                  <w:vMerge w:val="continue"/>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p>
              </w:tc>
              <w:tc>
                <w:tcPr>
                  <w:tcW w:w="405" w:type="pct"/>
                  <w:vMerge w:val="continue"/>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p>
              </w:tc>
              <w:tc>
                <w:tcPr>
                  <w:tcW w:w="523" w:type="pct"/>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第三次</w:t>
                  </w:r>
                </w:p>
              </w:tc>
              <w:tc>
                <w:tcPr>
                  <w:tcW w:w="41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＜10</w:t>
                  </w:r>
                </w:p>
              </w:tc>
              <w:tc>
                <w:tcPr>
                  <w:tcW w:w="418"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0.093</w:t>
                  </w:r>
                </w:p>
              </w:tc>
              <w:tc>
                <w:tcPr>
                  <w:tcW w:w="547"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5.34</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-3</w:t>
                  </w:r>
                </w:p>
              </w:tc>
              <w:tc>
                <w:tcPr>
                  <w:tcW w:w="380"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0.42</w:t>
                  </w:r>
                </w:p>
              </w:tc>
              <w:tc>
                <w:tcPr>
                  <w:tcW w:w="34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34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563"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403"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0.034</w:t>
                  </w:r>
                </w:p>
              </w:tc>
              <w:tc>
                <w:tcPr>
                  <w:tcW w:w="445"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14" w:type="pct"/>
                  <w:vMerge w:val="continue"/>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p>
              </w:tc>
              <w:tc>
                <w:tcPr>
                  <w:tcW w:w="405" w:type="pct"/>
                  <w:vMerge w:val="restar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2024.05.09</w:t>
                  </w:r>
                </w:p>
              </w:tc>
              <w:tc>
                <w:tcPr>
                  <w:tcW w:w="523" w:type="pct"/>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第一次</w:t>
                  </w:r>
                </w:p>
              </w:tc>
              <w:tc>
                <w:tcPr>
                  <w:tcW w:w="41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＜10</w:t>
                  </w:r>
                </w:p>
              </w:tc>
              <w:tc>
                <w:tcPr>
                  <w:tcW w:w="418"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4.0</w:t>
                  </w:r>
                </w:p>
              </w:tc>
              <w:tc>
                <w:tcPr>
                  <w:tcW w:w="547"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5.91</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-3</w:t>
                  </w:r>
                </w:p>
              </w:tc>
              <w:tc>
                <w:tcPr>
                  <w:tcW w:w="380"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0.42</w:t>
                  </w:r>
                </w:p>
              </w:tc>
              <w:tc>
                <w:tcPr>
                  <w:tcW w:w="34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34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563"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403"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0.032</w:t>
                  </w:r>
                </w:p>
              </w:tc>
              <w:tc>
                <w:tcPr>
                  <w:tcW w:w="445"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14" w:type="pct"/>
                  <w:vMerge w:val="continue"/>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p>
              </w:tc>
              <w:tc>
                <w:tcPr>
                  <w:tcW w:w="405" w:type="pct"/>
                  <w:vMerge w:val="continue"/>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p>
              </w:tc>
              <w:tc>
                <w:tcPr>
                  <w:tcW w:w="523" w:type="pct"/>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第二次</w:t>
                  </w:r>
                </w:p>
              </w:tc>
              <w:tc>
                <w:tcPr>
                  <w:tcW w:w="412" w:type="pct"/>
                  <w:vAlign w:val="center"/>
                </w:tcPr>
                <w:p>
                  <w:pPr>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＜10</w:t>
                  </w:r>
                </w:p>
              </w:tc>
              <w:tc>
                <w:tcPr>
                  <w:tcW w:w="418" w:type="pct"/>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4.0</w:t>
                  </w:r>
                </w:p>
              </w:tc>
              <w:tc>
                <w:tcPr>
                  <w:tcW w:w="547" w:type="pct"/>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6.27</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-3</w:t>
                  </w:r>
                </w:p>
              </w:tc>
              <w:tc>
                <w:tcPr>
                  <w:tcW w:w="380" w:type="pct"/>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0.44</w:t>
                  </w:r>
                </w:p>
              </w:tc>
              <w:tc>
                <w:tcPr>
                  <w:tcW w:w="342" w:type="pct"/>
                  <w:vAlign w:val="center"/>
                </w:tcPr>
                <w:p>
                  <w:pPr>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342" w:type="pct"/>
                  <w:vAlign w:val="center"/>
                </w:tcPr>
                <w:p>
                  <w:pPr>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563" w:type="pct"/>
                  <w:vAlign w:val="center"/>
                </w:tcPr>
                <w:p>
                  <w:pPr>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403" w:type="pct"/>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0.034</w:t>
                  </w:r>
                </w:p>
              </w:tc>
              <w:tc>
                <w:tcPr>
                  <w:tcW w:w="445" w:type="pct"/>
                  <w:vAlign w:val="center"/>
                </w:tcPr>
                <w:p>
                  <w:pPr>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14" w:type="pct"/>
                  <w:vMerge w:val="continue"/>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p>
              </w:tc>
              <w:tc>
                <w:tcPr>
                  <w:tcW w:w="405" w:type="pct"/>
                  <w:vMerge w:val="continue"/>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p>
              </w:tc>
              <w:tc>
                <w:tcPr>
                  <w:tcW w:w="523" w:type="pct"/>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第三次</w:t>
                  </w:r>
                </w:p>
              </w:tc>
              <w:tc>
                <w:tcPr>
                  <w:tcW w:w="41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＜10</w:t>
                  </w:r>
                </w:p>
              </w:tc>
              <w:tc>
                <w:tcPr>
                  <w:tcW w:w="418"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4.0</w:t>
                  </w:r>
                </w:p>
              </w:tc>
              <w:tc>
                <w:tcPr>
                  <w:tcW w:w="547"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7.17</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-3</w:t>
                  </w:r>
                </w:p>
              </w:tc>
              <w:tc>
                <w:tcPr>
                  <w:tcW w:w="380"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0.46</w:t>
                  </w:r>
                </w:p>
              </w:tc>
              <w:tc>
                <w:tcPr>
                  <w:tcW w:w="34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34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563"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403"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0.038</w:t>
                  </w:r>
                </w:p>
              </w:tc>
              <w:tc>
                <w:tcPr>
                  <w:tcW w:w="445"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14" w:type="pct"/>
                  <w:vMerge w:val="restar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厂界下风向检测点</w:t>
                  </w:r>
                </w:p>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WQ02</w:t>
                  </w:r>
                </w:p>
              </w:tc>
              <w:tc>
                <w:tcPr>
                  <w:tcW w:w="405" w:type="pct"/>
                  <w:vMerge w:val="restar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2024.05.08</w:t>
                  </w:r>
                </w:p>
              </w:tc>
              <w:tc>
                <w:tcPr>
                  <w:tcW w:w="523"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第一次</w:t>
                  </w:r>
                </w:p>
              </w:tc>
              <w:tc>
                <w:tcPr>
                  <w:tcW w:w="41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＜10</w:t>
                  </w:r>
                </w:p>
              </w:tc>
              <w:tc>
                <w:tcPr>
                  <w:tcW w:w="418"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0.090</w:t>
                  </w:r>
                </w:p>
              </w:tc>
              <w:tc>
                <w:tcPr>
                  <w:tcW w:w="547"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7.93</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-3</w:t>
                  </w:r>
                </w:p>
              </w:tc>
              <w:tc>
                <w:tcPr>
                  <w:tcW w:w="380"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0.87</w:t>
                  </w:r>
                </w:p>
              </w:tc>
              <w:tc>
                <w:tcPr>
                  <w:tcW w:w="34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34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563"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1.08</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-2</w:t>
                  </w:r>
                </w:p>
              </w:tc>
              <w:tc>
                <w:tcPr>
                  <w:tcW w:w="403"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0.038</w:t>
                  </w:r>
                </w:p>
              </w:tc>
              <w:tc>
                <w:tcPr>
                  <w:tcW w:w="445"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14" w:type="pct"/>
                  <w:vMerge w:val="continue"/>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p>
              </w:tc>
              <w:tc>
                <w:tcPr>
                  <w:tcW w:w="405" w:type="pct"/>
                  <w:vMerge w:val="continue"/>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p>
              </w:tc>
              <w:tc>
                <w:tcPr>
                  <w:tcW w:w="523" w:type="pct"/>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第二次</w:t>
                  </w:r>
                </w:p>
              </w:tc>
              <w:tc>
                <w:tcPr>
                  <w:tcW w:w="41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＜10</w:t>
                  </w:r>
                </w:p>
              </w:tc>
              <w:tc>
                <w:tcPr>
                  <w:tcW w:w="418"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0.095</w:t>
                  </w:r>
                </w:p>
              </w:tc>
              <w:tc>
                <w:tcPr>
                  <w:tcW w:w="547"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7.49</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-3</w:t>
                  </w:r>
                </w:p>
              </w:tc>
              <w:tc>
                <w:tcPr>
                  <w:tcW w:w="380"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0.81</w:t>
                  </w:r>
                </w:p>
              </w:tc>
              <w:tc>
                <w:tcPr>
                  <w:tcW w:w="34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34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563"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1.08</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-2</w:t>
                  </w:r>
                </w:p>
              </w:tc>
              <w:tc>
                <w:tcPr>
                  <w:tcW w:w="403"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0.041</w:t>
                  </w:r>
                </w:p>
              </w:tc>
              <w:tc>
                <w:tcPr>
                  <w:tcW w:w="445"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14" w:type="pct"/>
                  <w:vMerge w:val="continue"/>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p>
              </w:tc>
              <w:tc>
                <w:tcPr>
                  <w:tcW w:w="405" w:type="pct"/>
                  <w:vMerge w:val="continue"/>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p>
              </w:tc>
              <w:tc>
                <w:tcPr>
                  <w:tcW w:w="523" w:type="pct"/>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第三次</w:t>
                  </w:r>
                </w:p>
              </w:tc>
              <w:tc>
                <w:tcPr>
                  <w:tcW w:w="41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＜10</w:t>
                  </w:r>
                </w:p>
              </w:tc>
              <w:tc>
                <w:tcPr>
                  <w:tcW w:w="418"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0.090</w:t>
                  </w:r>
                </w:p>
              </w:tc>
              <w:tc>
                <w:tcPr>
                  <w:tcW w:w="547"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8.39</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-3</w:t>
                  </w:r>
                </w:p>
              </w:tc>
              <w:tc>
                <w:tcPr>
                  <w:tcW w:w="380"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0.82</w:t>
                  </w:r>
                </w:p>
              </w:tc>
              <w:tc>
                <w:tcPr>
                  <w:tcW w:w="34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34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563"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9.13</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-3</w:t>
                  </w:r>
                </w:p>
              </w:tc>
              <w:tc>
                <w:tcPr>
                  <w:tcW w:w="403"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0.044</w:t>
                  </w:r>
                </w:p>
              </w:tc>
              <w:tc>
                <w:tcPr>
                  <w:tcW w:w="445"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14" w:type="pct"/>
                  <w:vMerge w:val="continue"/>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p>
              </w:tc>
              <w:tc>
                <w:tcPr>
                  <w:tcW w:w="405" w:type="pct"/>
                  <w:vMerge w:val="restar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2024.05.09</w:t>
                  </w:r>
                </w:p>
              </w:tc>
              <w:tc>
                <w:tcPr>
                  <w:tcW w:w="523" w:type="pct"/>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第一次</w:t>
                  </w:r>
                </w:p>
              </w:tc>
              <w:tc>
                <w:tcPr>
                  <w:tcW w:w="41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＜10</w:t>
                  </w:r>
                </w:p>
              </w:tc>
              <w:tc>
                <w:tcPr>
                  <w:tcW w:w="418"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0.100</w:t>
                  </w:r>
                </w:p>
              </w:tc>
              <w:tc>
                <w:tcPr>
                  <w:tcW w:w="547"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8.05</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-3</w:t>
                  </w:r>
                </w:p>
              </w:tc>
              <w:tc>
                <w:tcPr>
                  <w:tcW w:w="380"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0.86</w:t>
                  </w:r>
                </w:p>
              </w:tc>
              <w:tc>
                <w:tcPr>
                  <w:tcW w:w="34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34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563"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1.10</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-2</w:t>
                  </w:r>
                </w:p>
              </w:tc>
              <w:tc>
                <w:tcPr>
                  <w:tcW w:w="403"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0.042</w:t>
                  </w:r>
                </w:p>
              </w:tc>
              <w:tc>
                <w:tcPr>
                  <w:tcW w:w="445"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14" w:type="pct"/>
                  <w:vMerge w:val="continue"/>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p>
              </w:tc>
              <w:tc>
                <w:tcPr>
                  <w:tcW w:w="405" w:type="pct"/>
                  <w:vMerge w:val="continue"/>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p>
              </w:tc>
              <w:tc>
                <w:tcPr>
                  <w:tcW w:w="523" w:type="pct"/>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第二次</w:t>
                  </w:r>
                </w:p>
              </w:tc>
              <w:tc>
                <w:tcPr>
                  <w:tcW w:w="412" w:type="pct"/>
                  <w:vAlign w:val="center"/>
                </w:tcPr>
                <w:p>
                  <w:pPr>
                    <w:keepNext w:val="0"/>
                    <w:keepLines w:val="0"/>
                    <w:pageBreakBefore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＜10</w:t>
                  </w:r>
                </w:p>
              </w:tc>
              <w:tc>
                <w:tcPr>
                  <w:tcW w:w="418" w:type="pct"/>
                  <w:vAlign w:val="center"/>
                </w:tcPr>
                <w:p>
                  <w:pPr>
                    <w:keepNext w:val="0"/>
                    <w:keepLines w:val="0"/>
                    <w:pageBreakBefore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0.101</w:t>
                  </w:r>
                </w:p>
              </w:tc>
              <w:tc>
                <w:tcPr>
                  <w:tcW w:w="547" w:type="pct"/>
                  <w:vAlign w:val="center"/>
                </w:tcPr>
                <w:p>
                  <w:pPr>
                    <w:keepNext w:val="0"/>
                    <w:keepLines w:val="0"/>
                    <w:pageBreakBefore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7.99</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-3</w:t>
                  </w:r>
                </w:p>
              </w:tc>
              <w:tc>
                <w:tcPr>
                  <w:tcW w:w="380" w:type="pct"/>
                  <w:vAlign w:val="center"/>
                </w:tcPr>
                <w:p>
                  <w:pPr>
                    <w:keepNext w:val="0"/>
                    <w:keepLines w:val="0"/>
                    <w:pageBreakBefore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0.90</w:t>
                  </w:r>
                </w:p>
              </w:tc>
              <w:tc>
                <w:tcPr>
                  <w:tcW w:w="342" w:type="pct"/>
                  <w:vAlign w:val="center"/>
                </w:tcPr>
                <w:p>
                  <w:pPr>
                    <w:keepNext w:val="0"/>
                    <w:keepLines w:val="0"/>
                    <w:pageBreakBefore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342" w:type="pct"/>
                  <w:vAlign w:val="center"/>
                </w:tcPr>
                <w:p>
                  <w:pPr>
                    <w:keepNext w:val="0"/>
                    <w:keepLines w:val="0"/>
                    <w:pageBreakBefore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563" w:type="pct"/>
                  <w:vAlign w:val="center"/>
                </w:tcPr>
                <w:p>
                  <w:pPr>
                    <w:keepNext w:val="0"/>
                    <w:keepLines w:val="0"/>
                    <w:pageBreakBefore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1.10</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-2</w:t>
                  </w:r>
                </w:p>
              </w:tc>
              <w:tc>
                <w:tcPr>
                  <w:tcW w:w="403" w:type="pct"/>
                  <w:vAlign w:val="center"/>
                </w:tcPr>
                <w:p>
                  <w:pPr>
                    <w:keepNext w:val="0"/>
                    <w:keepLines w:val="0"/>
                    <w:pageBreakBefore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0.036</w:t>
                  </w:r>
                </w:p>
              </w:tc>
              <w:tc>
                <w:tcPr>
                  <w:tcW w:w="445" w:type="pct"/>
                  <w:vAlign w:val="center"/>
                </w:tcPr>
                <w:p>
                  <w:pPr>
                    <w:keepNext w:val="0"/>
                    <w:keepLines w:val="0"/>
                    <w:pageBreakBefore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14" w:type="pct"/>
                  <w:vMerge w:val="continue"/>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p>
              </w:tc>
              <w:tc>
                <w:tcPr>
                  <w:tcW w:w="405" w:type="pct"/>
                  <w:vMerge w:val="continue"/>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p>
              </w:tc>
              <w:tc>
                <w:tcPr>
                  <w:tcW w:w="523" w:type="pct"/>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第三次</w:t>
                  </w:r>
                </w:p>
              </w:tc>
              <w:tc>
                <w:tcPr>
                  <w:tcW w:w="41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＜10</w:t>
                  </w:r>
                </w:p>
              </w:tc>
              <w:tc>
                <w:tcPr>
                  <w:tcW w:w="418"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0.105</w:t>
                  </w:r>
                </w:p>
              </w:tc>
              <w:tc>
                <w:tcPr>
                  <w:tcW w:w="547"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7.60</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-3</w:t>
                  </w:r>
                </w:p>
              </w:tc>
              <w:tc>
                <w:tcPr>
                  <w:tcW w:w="380"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0.88</w:t>
                  </w:r>
                </w:p>
              </w:tc>
              <w:tc>
                <w:tcPr>
                  <w:tcW w:w="34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34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563"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1.04</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-2</w:t>
                  </w:r>
                </w:p>
              </w:tc>
              <w:tc>
                <w:tcPr>
                  <w:tcW w:w="403"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0.038</w:t>
                  </w:r>
                </w:p>
              </w:tc>
              <w:tc>
                <w:tcPr>
                  <w:tcW w:w="445"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14" w:type="pct"/>
                  <w:vMerge w:val="restar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厂界下风向检测点</w:t>
                  </w:r>
                </w:p>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WQ03</w:t>
                  </w:r>
                </w:p>
              </w:tc>
              <w:tc>
                <w:tcPr>
                  <w:tcW w:w="405" w:type="pct"/>
                  <w:vMerge w:val="restar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2024.05.08</w:t>
                  </w:r>
                </w:p>
              </w:tc>
              <w:tc>
                <w:tcPr>
                  <w:tcW w:w="523"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第一次</w:t>
                  </w:r>
                </w:p>
              </w:tc>
              <w:tc>
                <w:tcPr>
                  <w:tcW w:w="41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＜10</w:t>
                  </w:r>
                </w:p>
              </w:tc>
              <w:tc>
                <w:tcPr>
                  <w:tcW w:w="418"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0.098</w:t>
                  </w:r>
                </w:p>
              </w:tc>
              <w:tc>
                <w:tcPr>
                  <w:tcW w:w="547"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1.08</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-2</w:t>
                  </w:r>
                </w:p>
              </w:tc>
              <w:tc>
                <w:tcPr>
                  <w:tcW w:w="380"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1.25</w:t>
                  </w:r>
                </w:p>
              </w:tc>
              <w:tc>
                <w:tcPr>
                  <w:tcW w:w="34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34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563"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4.38</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-2</w:t>
                  </w:r>
                </w:p>
              </w:tc>
              <w:tc>
                <w:tcPr>
                  <w:tcW w:w="403"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0.073</w:t>
                  </w:r>
                </w:p>
              </w:tc>
              <w:tc>
                <w:tcPr>
                  <w:tcW w:w="445"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14" w:type="pct"/>
                  <w:vMerge w:val="continue"/>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p>
              </w:tc>
              <w:tc>
                <w:tcPr>
                  <w:tcW w:w="405" w:type="pct"/>
                  <w:vMerge w:val="continue"/>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p>
              </w:tc>
              <w:tc>
                <w:tcPr>
                  <w:tcW w:w="523" w:type="pct"/>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第二次</w:t>
                  </w:r>
                </w:p>
              </w:tc>
              <w:tc>
                <w:tcPr>
                  <w:tcW w:w="41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＜10</w:t>
                  </w:r>
                </w:p>
              </w:tc>
              <w:tc>
                <w:tcPr>
                  <w:tcW w:w="418"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0.105</w:t>
                  </w:r>
                </w:p>
              </w:tc>
              <w:tc>
                <w:tcPr>
                  <w:tcW w:w="547"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1.12</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-2</w:t>
                  </w:r>
                </w:p>
              </w:tc>
              <w:tc>
                <w:tcPr>
                  <w:tcW w:w="380"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1.24</w:t>
                  </w:r>
                </w:p>
              </w:tc>
              <w:tc>
                <w:tcPr>
                  <w:tcW w:w="34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34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563"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4.71</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-2</w:t>
                  </w:r>
                </w:p>
              </w:tc>
              <w:tc>
                <w:tcPr>
                  <w:tcW w:w="403"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0.077</w:t>
                  </w:r>
                </w:p>
              </w:tc>
              <w:tc>
                <w:tcPr>
                  <w:tcW w:w="445"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14" w:type="pct"/>
                  <w:vMerge w:val="continue"/>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p>
              </w:tc>
              <w:tc>
                <w:tcPr>
                  <w:tcW w:w="405" w:type="pct"/>
                  <w:vMerge w:val="continue"/>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p>
              </w:tc>
              <w:tc>
                <w:tcPr>
                  <w:tcW w:w="523" w:type="pct"/>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第三次</w:t>
                  </w:r>
                </w:p>
              </w:tc>
              <w:tc>
                <w:tcPr>
                  <w:tcW w:w="41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＜10</w:t>
                  </w:r>
                </w:p>
              </w:tc>
              <w:tc>
                <w:tcPr>
                  <w:tcW w:w="418"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0.109</w:t>
                  </w:r>
                </w:p>
              </w:tc>
              <w:tc>
                <w:tcPr>
                  <w:tcW w:w="547"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1.16</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-2</w:t>
                  </w:r>
                </w:p>
              </w:tc>
              <w:tc>
                <w:tcPr>
                  <w:tcW w:w="380"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1.20</w:t>
                  </w:r>
                </w:p>
              </w:tc>
              <w:tc>
                <w:tcPr>
                  <w:tcW w:w="34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34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563"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4.60</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-2</w:t>
                  </w:r>
                </w:p>
              </w:tc>
              <w:tc>
                <w:tcPr>
                  <w:tcW w:w="403"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0.074</w:t>
                  </w:r>
                </w:p>
              </w:tc>
              <w:tc>
                <w:tcPr>
                  <w:tcW w:w="445"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14" w:type="pct"/>
                  <w:vMerge w:val="continue"/>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p>
              </w:tc>
              <w:tc>
                <w:tcPr>
                  <w:tcW w:w="405" w:type="pct"/>
                  <w:vMerge w:val="restar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2024.05.09</w:t>
                  </w:r>
                </w:p>
              </w:tc>
              <w:tc>
                <w:tcPr>
                  <w:tcW w:w="523" w:type="pct"/>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第一次</w:t>
                  </w:r>
                </w:p>
              </w:tc>
              <w:tc>
                <w:tcPr>
                  <w:tcW w:w="41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＜10</w:t>
                  </w:r>
                </w:p>
              </w:tc>
              <w:tc>
                <w:tcPr>
                  <w:tcW w:w="418"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0.280</w:t>
                  </w:r>
                </w:p>
              </w:tc>
              <w:tc>
                <w:tcPr>
                  <w:tcW w:w="547"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1.09</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-2</w:t>
                  </w:r>
                </w:p>
              </w:tc>
              <w:tc>
                <w:tcPr>
                  <w:tcW w:w="380"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1.20</w:t>
                  </w:r>
                </w:p>
              </w:tc>
              <w:tc>
                <w:tcPr>
                  <w:tcW w:w="34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34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563"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4.45</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-2</w:t>
                  </w:r>
                </w:p>
              </w:tc>
              <w:tc>
                <w:tcPr>
                  <w:tcW w:w="403"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0.076</w:t>
                  </w:r>
                </w:p>
              </w:tc>
              <w:tc>
                <w:tcPr>
                  <w:tcW w:w="445"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14" w:type="pct"/>
                  <w:vMerge w:val="continue"/>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p>
              </w:tc>
              <w:tc>
                <w:tcPr>
                  <w:tcW w:w="405" w:type="pct"/>
                  <w:vMerge w:val="continue"/>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p>
              </w:tc>
              <w:tc>
                <w:tcPr>
                  <w:tcW w:w="523" w:type="pct"/>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第二次</w:t>
                  </w:r>
                </w:p>
              </w:tc>
              <w:tc>
                <w:tcPr>
                  <w:tcW w:w="412" w:type="pct"/>
                  <w:vAlign w:val="center"/>
                </w:tcPr>
                <w:p>
                  <w:pPr>
                    <w:keepNext w:val="0"/>
                    <w:keepLines w:val="0"/>
                    <w:pageBreakBefore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＜10</w:t>
                  </w:r>
                </w:p>
              </w:tc>
              <w:tc>
                <w:tcPr>
                  <w:tcW w:w="418" w:type="pct"/>
                  <w:vAlign w:val="center"/>
                </w:tcPr>
                <w:p>
                  <w:pPr>
                    <w:keepNext w:val="0"/>
                    <w:keepLines w:val="0"/>
                    <w:pageBreakBefore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0.269</w:t>
                  </w:r>
                </w:p>
              </w:tc>
              <w:tc>
                <w:tcPr>
                  <w:tcW w:w="547" w:type="pct"/>
                  <w:vAlign w:val="center"/>
                </w:tcPr>
                <w:p>
                  <w:pPr>
                    <w:keepNext w:val="0"/>
                    <w:keepLines w:val="0"/>
                    <w:pageBreakBefore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1.27</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-2</w:t>
                  </w:r>
                </w:p>
              </w:tc>
              <w:tc>
                <w:tcPr>
                  <w:tcW w:w="380" w:type="pct"/>
                  <w:vAlign w:val="center"/>
                </w:tcPr>
                <w:p>
                  <w:pPr>
                    <w:keepNext w:val="0"/>
                    <w:keepLines w:val="0"/>
                    <w:pageBreakBefore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1.22</w:t>
                  </w:r>
                </w:p>
              </w:tc>
              <w:tc>
                <w:tcPr>
                  <w:tcW w:w="342" w:type="pct"/>
                  <w:vAlign w:val="center"/>
                </w:tcPr>
                <w:p>
                  <w:pPr>
                    <w:keepNext w:val="0"/>
                    <w:keepLines w:val="0"/>
                    <w:pageBreakBefore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342" w:type="pct"/>
                  <w:vAlign w:val="center"/>
                </w:tcPr>
                <w:p>
                  <w:pPr>
                    <w:keepNext w:val="0"/>
                    <w:keepLines w:val="0"/>
                    <w:pageBreakBefore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563" w:type="pct"/>
                  <w:vAlign w:val="center"/>
                </w:tcPr>
                <w:p>
                  <w:pPr>
                    <w:keepNext w:val="0"/>
                    <w:keepLines w:val="0"/>
                    <w:pageBreakBefore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4.73</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-2</w:t>
                  </w:r>
                </w:p>
              </w:tc>
              <w:tc>
                <w:tcPr>
                  <w:tcW w:w="403" w:type="pct"/>
                  <w:vAlign w:val="center"/>
                </w:tcPr>
                <w:p>
                  <w:pPr>
                    <w:keepNext w:val="0"/>
                    <w:keepLines w:val="0"/>
                    <w:pageBreakBefore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0.063</w:t>
                  </w:r>
                </w:p>
              </w:tc>
              <w:tc>
                <w:tcPr>
                  <w:tcW w:w="445" w:type="pct"/>
                  <w:vAlign w:val="center"/>
                </w:tcPr>
                <w:p>
                  <w:pPr>
                    <w:keepNext w:val="0"/>
                    <w:keepLines w:val="0"/>
                    <w:pageBreakBefore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14" w:type="pct"/>
                  <w:vMerge w:val="continue"/>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p>
              </w:tc>
              <w:tc>
                <w:tcPr>
                  <w:tcW w:w="405" w:type="pct"/>
                  <w:vMerge w:val="continue"/>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p>
              </w:tc>
              <w:tc>
                <w:tcPr>
                  <w:tcW w:w="523" w:type="pct"/>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第三次</w:t>
                  </w:r>
                </w:p>
              </w:tc>
              <w:tc>
                <w:tcPr>
                  <w:tcW w:w="41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＜10</w:t>
                  </w:r>
                </w:p>
              </w:tc>
              <w:tc>
                <w:tcPr>
                  <w:tcW w:w="418"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0.280</w:t>
                  </w:r>
                </w:p>
              </w:tc>
              <w:tc>
                <w:tcPr>
                  <w:tcW w:w="547"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1.22</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-2</w:t>
                  </w:r>
                </w:p>
              </w:tc>
              <w:tc>
                <w:tcPr>
                  <w:tcW w:w="380"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1.21</w:t>
                  </w:r>
                </w:p>
              </w:tc>
              <w:tc>
                <w:tcPr>
                  <w:tcW w:w="34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34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563"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4.42</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-2</w:t>
                  </w:r>
                </w:p>
              </w:tc>
              <w:tc>
                <w:tcPr>
                  <w:tcW w:w="403"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0.074</w:t>
                  </w:r>
                </w:p>
              </w:tc>
              <w:tc>
                <w:tcPr>
                  <w:tcW w:w="445"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14" w:type="pct"/>
                  <w:vMerge w:val="restar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厂界下风向检测点</w:t>
                  </w:r>
                </w:p>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WQ04</w:t>
                  </w:r>
                </w:p>
              </w:tc>
              <w:tc>
                <w:tcPr>
                  <w:tcW w:w="405" w:type="pct"/>
                  <w:vMerge w:val="restar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2024.05.08</w:t>
                  </w:r>
                </w:p>
              </w:tc>
              <w:tc>
                <w:tcPr>
                  <w:tcW w:w="523"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第一次</w:t>
                  </w:r>
                </w:p>
              </w:tc>
              <w:tc>
                <w:tcPr>
                  <w:tcW w:w="41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＜10</w:t>
                  </w:r>
                </w:p>
              </w:tc>
              <w:tc>
                <w:tcPr>
                  <w:tcW w:w="418"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0.283</w:t>
                  </w:r>
                </w:p>
              </w:tc>
              <w:tc>
                <w:tcPr>
                  <w:tcW w:w="547"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8.06</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-3</w:t>
                  </w:r>
                </w:p>
              </w:tc>
              <w:tc>
                <w:tcPr>
                  <w:tcW w:w="380"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0.86</w:t>
                  </w:r>
                </w:p>
              </w:tc>
              <w:tc>
                <w:tcPr>
                  <w:tcW w:w="34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34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563"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9.28</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-3</w:t>
                  </w:r>
                </w:p>
              </w:tc>
              <w:tc>
                <w:tcPr>
                  <w:tcW w:w="403"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0.061</w:t>
                  </w:r>
                </w:p>
              </w:tc>
              <w:tc>
                <w:tcPr>
                  <w:tcW w:w="445"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14" w:type="pct"/>
                  <w:vMerge w:val="continue"/>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p>
              </w:tc>
              <w:tc>
                <w:tcPr>
                  <w:tcW w:w="405" w:type="pct"/>
                  <w:vMerge w:val="continue"/>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p>
              </w:tc>
              <w:tc>
                <w:tcPr>
                  <w:tcW w:w="523" w:type="pct"/>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第二次</w:t>
                  </w:r>
                </w:p>
              </w:tc>
              <w:tc>
                <w:tcPr>
                  <w:tcW w:w="41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＜10</w:t>
                  </w:r>
                </w:p>
              </w:tc>
              <w:tc>
                <w:tcPr>
                  <w:tcW w:w="418"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0.258</w:t>
                  </w:r>
                </w:p>
              </w:tc>
              <w:tc>
                <w:tcPr>
                  <w:tcW w:w="547"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6.62</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-3</w:t>
                  </w:r>
                </w:p>
              </w:tc>
              <w:tc>
                <w:tcPr>
                  <w:tcW w:w="380"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0.94</w:t>
                  </w:r>
                </w:p>
              </w:tc>
              <w:tc>
                <w:tcPr>
                  <w:tcW w:w="34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34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563"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1.15</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-2</w:t>
                  </w:r>
                </w:p>
              </w:tc>
              <w:tc>
                <w:tcPr>
                  <w:tcW w:w="403"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0.058</w:t>
                  </w:r>
                </w:p>
              </w:tc>
              <w:tc>
                <w:tcPr>
                  <w:tcW w:w="445"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14" w:type="pct"/>
                  <w:vMerge w:val="continue"/>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p>
              </w:tc>
              <w:tc>
                <w:tcPr>
                  <w:tcW w:w="405" w:type="pct"/>
                  <w:vMerge w:val="continue"/>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p>
              </w:tc>
              <w:tc>
                <w:tcPr>
                  <w:tcW w:w="523" w:type="pct"/>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第三次</w:t>
                  </w:r>
                </w:p>
              </w:tc>
              <w:tc>
                <w:tcPr>
                  <w:tcW w:w="41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＜10</w:t>
                  </w:r>
                </w:p>
              </w:tc>
              <w:tc>
                <w:tcPr>
                  <w:tcW w:w="418"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0.266</w:t>
                  </w:r>
                </w:p>
              </w:tc>
              <w:tc>
                <w:tcPr>
                  <w:tcW w:w="547"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6.94</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-3</w:t>
                  </w:r>
                </w:p>
              </w:tc>
              <w:tc>
                <w:tcPr>
                  <w:tcW w:w="380"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0.82</w:t>
                  </w:r>
                </w:p>
              </w:tc>
              <w:tc>
                <w:tcPr>
                  <w:tcW w:w="34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34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563"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1.16</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-2</w:t>
                  </w:r>
                </w:p>
              </w:tc>
              <w:tc>
                <w:tcPr>
                  <w:tcW w:w="403"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0.055</w:t>
                  </w:r>
                </w:p>
              </w:tc>
              <w:tc>
                <w:tcPr>
                  <w:tcW w:w="445"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14" w:type="pct"/>
                  <w:vMerge w:val="continue"/>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p>
              </w:tc>
              <w:tc>
                <w:tcPr>
                  <w:tcW w:w="405" w:type="pct"/>
                  <w:vMerge w:val="restar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2024.05.09</w:t>
                  </w:r>
                </w:p>
              </w:tc>
              <w:tc>
                <w:tcPr>
                  <w:tcW w:w="523" w:type="pct"/>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第一次</w:t>
                  </w:r>
                </w:p>
              </w:tc>
              <w:tc>
                <w:tcPr>
                  <w:tcW w:w="41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＜10</w:t>
                  </w:r>
                </w:p>
              </w:tc>
              <w:tc>
                <w:tcPr>
                  <w:tcW w:w="418"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0.112</w:t>
                  </w:r>
                </w:p>
              </w:tc>
              <w:tc>
                <w:tcPr>
                  <w:tcW w:w="547"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6.77</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-3</w:t>
                  </w:r>
                </w:p>
              </w:tc>
              <w:tc>
                <w:tcPr>
                  <w:tcW w:w="380"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0.85</w:t>
                  </w:r>
                </w:p>
              </w:tc>
              <w:tc>
                <w:tcPr>
                  <w:tcW w:w="34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34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563"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9.34</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-3</w:t>
                  </w:r>
                </w:p>
              </w:tc>
              <w:tc>
                <w:tcPr>
                  <w:tcW w:w="403"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0.065</w:t>
                  </w:r>
                </w:p>
              </w:tc>
              <w:tc>
                <w:tcPr>
                  <w:tcW w:w="445"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14" w:type="pct"/>
                  <w:vMerge w:val="continue"/>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p>
              </w:tc>
              <w:tc>
                <w:tcPr>
                  <w:tcW w:w="405" w:type="pct"/>
                  <w:vMerge w:val="continue"/>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p>
              </w:tc>
              <w:tc>
                <w:tcPr>
                  <w:tcW w:w="523" w:type="pct"/>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第二次</w:t>
                  </w:r>
                </w:p>
              </w:tc>
              <w:tc>
                <w:tcPr>
                  <w:tcW w:w="412" w:type="pct"/>
                  <w:vAlign w:val="center"/>
                </w:tcPr>
                <w:p>
                  <w:pPr>
                    <w:keepNext w:val="0"/>
                    <w:keepLines w:val="0"/>
                    <w:pageBreakBefore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＜10</w:t>
                  </w:r>
                </w:p>
              </w:tc>
              <w:tc>
                <w:tcPr>
                  <w:tcW w:w="418" w:type="pct"/>
                  <w:vAlign w:val="center"/>
                </w:tcPr>
                <w:p>
                  <w:pPr>
                    <w:keepNext w:val="0"/>
                    <w:keepLines w:val="0"/>
                    <w:pageBreakBefore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0.111</w:t>
                  </w:r>
                </w:p>
              </w:tc>
              <w:tc>
                <w:tcPr>
                  <w:tcW w:w="547" w:type="pct"/>
                  <w:vAlign w:val="center"/>
                </w:tcPr>
                <w:p>
                  <w:pPr>
                    <w:keepNext w:val="0"/>
                    <w:keepLines w:val="0"/>
                    <w:pageBreakBefore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7.57</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-3</w:t>
                  </w:r>
                </w:p>
              </w:tc>
              <w:tc>
                <w:tcPr>
                  <w:tcW w:w="380" w:type="pct"/>
                  <w:vAlign w:val="center"/>
                </w:tcPr>
                <w:p>
                  <w:pPr>
                    <w:keepNext w:val="0"/>
                    <w:keepLines w:val="0"/>
                    <w:pageBreakBefore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0.82</w:t>
                  </w:r>
                </w:p>
              </w:tc>
              <w:tc>
                <w:tcPr>
                  <w:tcW w:w="342" w:type="pct"/>
                  <w:vAlign w:val="center"/>
                </w:tcPr>
                <w:p>
                  <w:pPr>
                    <w:keepNext w:val="0"/>
                    <w:keepLines w:val="0"/>
                    <w:pageBreakBefore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342" w:type="pct"/>
                  <w:vAlign w:val="center"/>
                </w:tcPr>
                <w:p>
                  <w:pPr>
                    <w:keepNext w:val="0"/>
                    <w:keepLines w:val="0"/>
                    <w:pageBreakBefore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563" w:type="pct"/>
                  <w:vAlign w:val="center"/>
                </w:tcPr>
                <w:p>
                  <w:pPr>
                    <w:keepNext w:val="0"/>
                    <w:keepLines w:val="0"/>
                    <w:pageBreakBefore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1.02</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-2</w:t>
                  </w:r>
                </w:p>
              </w:tc>
              <w:tc>
                <w:tcPr>
                  <w:tcW w:w="403" w:type="pct"/>
                  <w:vAlign w:val="center"/>
                </w:tcPr>
                <w:p>
                  <w:pPr>
                    <w:keepNext w:val="0"/>
                    <w:keepLines w:val="0"/>
                    <w:pageBreakBefore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0.050</w:t>
                  </w:r>
                </w:p>
              </w:tc>
              <w:tc>
                <w:tcPr>
                  <w:tcW w:w="445" w:type="pct"/>
                  <w:vAlign w:val="center"/>
                </w:tcPr>
                <w:p>
                  <w:pPr>
                    <w:keepNext w:val="0"/>
                    <w:keepLines w:val="0"/>
                    <w:pageBreakBefore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14" w:type="pct"/>
                  <w:vMerge w:val="continue"/>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p>
              </w:tc>
              <w:tc>
                <w:tcPr>
                  <w:tcW w:w="405" w:type="pct"/>
                  <w:vMerge w:val="continue"/>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p>
              </w:tc>
              <w:tc>
                <w:tcPr>
                  <w:tcW w:w="523" w:type="pct"/>
                  <w:vAlign w:val="center"/>
                </w:tcPr>
                <w:p>
                  <w:pPr>
                    <w:pStyle w:val="35"/>
                    <w:keepNext w:val="0"/>
                    <w:keepLines w:val="0"/>
                    <w:pageBreakBefore w:val="0"/>
                    <w:kinsoku/>
                    <w:wordWrap/>
                    <w:overflowPunct/>
                    <w:topLinePunct w:val="0"/>
                    <w:bidi w:val="0"/>
                    <w:snapToGrid/>
                    <w:spacing w:before="0" w:after="0"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第三次</w:t>
                  </w:r>
                </w:p>
              </w:tc>
              <w:tc>
                <w:tcPr>
                  <w:tcW w:w="41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＜10</w:t>
                  </w:r>
                </w:p>
              </w:tc>
              <w:tc>
                <w:tcPr>
                  <w:tcW w:w="418"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0.114</w:t>
                  </w:r>
                </w:p>
              </w:tc>
              <w:tc>
                <w:tcPr>
                  <w:tcW w:w="547"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7.46</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-3</w:t>
                  </w:r>
                </w:p>
              </w:tc>
              <w:tc>
                <w:tcPr>
                  <w:tcW w:w="380"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0.86</w:t>
                  </w:r>
                </w:p>
              </w:tc>
              <w:tc>
                <w:tcPr>
                  <w:tcW w:w="34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342"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c>
                <w:tcPr>
                  <w:tcW w:w="563"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1.03</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-2</w:t>
                  </w:r>
                </w:p>
              </w:tc>
              <w:tc>
                <w:tcPr>
                  <w:tcW w:w="403"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0.060</w:t>
                  </w:r>
                </w:p>
              </w:tc>
              <w:tc>
                <w:tcPr>
                  <w:tcW w:w="445" w:type="pct"/>
                  <w:vAlign w:val="center"/>
                </w:tcPr>
                <w:p>
                  <w:pPr>
                    <w:keepNext w:val="0"/>
                    <w:keepLines w:val="0"/>
                    <w:pageBreakBefore w:val="0"/>
                    <w:widowControl/>
                    <w:suppressLineNumbers w:val="0"/>
                    <w:kinsoku/>
                    <w:wordWrap/>
                    <w:overflowPunct/>
                    <w:topLinePunct w:val="0"/>
                    <w:bidi w:val="0"/>
                    <w:snapToGrid/>
                    <w:spacing w:line="200" w:lineRule="exact"/>
                    <w:jc w:val="center"/>
                    <w:textAlignment w:val="auto"/>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18"/>
                      <w:szCs w:val="18"/>
                      <w:highlight w:val="none"/>
                      <w:lang w:val="en-US" w:eastAsia="zh-CN" w:bidi="ar-SA"/>
                      <w14:textFill>
                        <w14:solidFill>
                          <w14:schemeClr w14:val="tx1"/>
                        </w14:solidFill>
                      </w14:textFill>
                    </w:rPr>
                    <w:t>ND</w:t>
                  </w:r>
                </w:p>
              </w:tc>
            </w:tr>
          </w:tbl>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本次验收监测结果表明，无组织废气</w:t>
            </w:r>
            <w:r>
              <w:rPr>
                <w:rFonts w:hint="eastAsia"/>
                <w:color w:val="000000" w:themeColor="text1"/>
                <w:sz w:val="24"/>
                <w:szCs w:val="24"/>
                <w:highlight w:val="none"/>
                <w14:textFill>
                  <w14:solidFill>
                    <w14:schemeClr w14:val="tx1"/>
                  </w14:solidFill>
                </w14:textFill>
              </w:rPr>
              <w:t>非甲烷总烃、苯、甲醇、硫酸雾、氮氧化物、氯化氢满足《大气污染物综合排放标准》（GB16297-1996）排放标准限值要求，氨、硫化氢、臭气浓度满足《恶臭污染物排放标准》（GB14554-93）排放标准限值要求。</w:t>
            </w:r>
          </w:p>
          <w:p>
            <w:pPr>
              <w:keepNext w:val="0"/>
              <w:keepLines w:val="0"/>
              <w:pageBreakBefore w:val="0"/>
              <w:widowControl w:val="0"/>
              <w:kinsoku/>
              <w:wordWrap/>
              <w:overflowPunct/>
              <w:topLinePunct w:val="0"/>
              <w:autoSpaceDE/>
              <w:autoSpaceDN/>
              <w:bidi w:val="0"/>
              <w:spacing w:line="360" w:lineRule="auto"/>
              <w:textAlignment w:val="auto"/>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7.2.3 噪声排放监测结果及分析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项目厂界噪声监测结果见</w:t>
            </w:r>
            <w:r>
              <w:rPr>
                <w:rFonts w:hint="eastAsia"/>
                <w:color w:val="000000" w:themeColor="text1"/>
                <w:sz w:val="24"/>
                <w:szCs w:val="24"/>
                <w:highlight w:val="none"/>
                <w:lang w:eastAsia="zh-CN"/>
                <w14:textFill>
                  <w14:solidFill>
                    <w14:schemeClr w14:val="tx1"/>
                  </w14:solidFill>
                </w14:textFill>
              </w:rPr>
              <w:t>下表</w:t>
            </w:r>
            <w:r>
              <w:rPr>
                <w:color w:val="000000" w:themeColor="text1"/>
                <w:sz w:val="24"/>
                <w:szCs w:val="24"/>
                <w:highlight w:val="none"/>
                <w14:textFill>
                  <w14:solidFill>
                    <w14:schemeClr w14:val="tx1"/>
                  </w14:solidFill>
                </w14:textFill>
              </w:rPr>
              <w:t>。</w:t>
            </w:r>
          </w:p>
          <w:p>
            <w:pPr>
              <w:snapToGrid w:val="0"/>
              <w:ind w:right="844"/>
              <w:jc w:val="center"/>
              <w:rPr>
                <w:rFonts w:hint="eastAsia"/>
                <w:b/>
                <w:color w:val="000000" w:themeColor="text1"/>
                <w:sz w:val="18"/>
                <w:szCs w:val="18"/>
                <w:highlight w:val="none"/>
                <w:lang w:eastAsia="zh-CN"/>
                <w14:textFill>
                  <w14:solidFill>
                    <w14:schemeClr w14:val="tx1"/>
                  </w14:solidFill>
                </w14:textFill>
              </w:rPr>
            </w:pPr>
            <w:r>
              <w:rPr>
                <w:b/>
                <w:color w:val="000000" w:themeColor="text1"/>
                <w:sz w:val="18"/>
                <w:szCs w:val="18"/>
                <w:highlight w:val="none"/>
                <w14:textFill>
                  <w14:solidFill>
                    <w14:schemeClr w14:val="tx1"/>
                  </w14:solidFill>
                </w14:textFill>
              </w:rPr>
              <w:t>表7-</w:t>
            </w:r>
            <w:r>
              <w:rPr>
                <w:rFonts w:hint="eastAsia"/>
                <w:b/>
                <w:color w:val="000000" w:themeColor="text1"/>
                <w:sz w:val="18"/>
                <w:szCs w:val="18"/>
                <w:highlight w:val="none"/>
                <w:lang w:val="en-US" w:eastAsia="zh-CN"/>
                <w14:textFill>
                  <w14:solidFill>
                    <w14:schemeClr w14:val="tx1"/>
                  </w14:solidFill>
                </w14:textFill>
              </w:rPr>
              <w:t>5</w:t>
            </w:r>
            <w:r>
              <w:rPr>
                <w:b/>
                <w:color w:val="000000" w:themeColor="text1"/>
                <w:sz w:val="18"/>
                <w:szCs w:val="18"/>
                <w:highlight w:val="none"/>
                <w14:textFill>
                  <w14:solidFill>
                    <w14:schemeClr w14:val="tx1"/>
                  </w14:solidFill>
                </w14:textFill>
              </w:rPr>
              <w:t xml:space="preserve"> 厂界噪声监测结果一览表</w:t>
            </w:r>
            <w:r>
              <w:rPr>
                <w:rFonts w:hint="eastAsia"/>
                <w:b/>
                <w:color w:val="000000" w:themeColor="text1"/>
                <w:sz w:val="18"/>
                <w:szCs w:val="18"/>
                <w:highlight w:val="none"/>
                <w:lang w:eastAsia="zh-CN"/>
                <w14:textFill>
                  <w14:solidFill>
                    <w14:schemeClr w14:val="tx1"/>
                  </w14:solidFill>
                </w14:textFill>
              </w:rPr>
              <w:t>，单位：dB（A）</w:t>
            </w:r>
          </w:p>
          <w:tbl>
            <w:tblPr>
              <w:tblStyle w:val="30"/>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9"/>
              <w:gridCol w:w="1738"/>
              <w:gridCol w:w="1614"/>
              <w:gridCol w:w="1745"/>
              <w:gridCol w:w="1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81" w:type="pct"/>
                  <w:vAlign w:val="center"/>
                </w:tcPr>
                <w:p>
                  <w:pPr>
                    <w:keepNext w:val="0"/>
                    <w:keepLines w:val="0"/>
                    <w:pageBreakBefore w:val="0"/>
                    <w:widowControl/>
                    <w:kinsoku/>
                    <w:wordWrap/>
                    <w:overflowPunct/>
                    <w:topLinePunct w:val="0"/>
                    <w:autoSpaceDE/>
                    <w:autoSpaceDN/>
                    <w:bidi w:val="0"/>
                    <w:adjustRightInd/>
                    <w:snapToGrid/>
                    <w:jc w:val="center"/>
                    <w:textAlignment w:val="top"/>
                    <w:rPr>
                      <w:rStyle w:val="106"/>
                      <w:rFonts w:hint="default" w:ascii="Times New Roman" w:hAnsi="Times New Roman" w:cs="Times New Roman"/>
                      <w:color w:val="000000" w:themeColor="text1"/>
                      <w:sz w:val="18"/>
                      <w:szCs w:val="18"/>
                      <w:highlight w:val="none"/>
                      <w:lang w:eastAsia="zh-CN" w:bidi="ar"/>
                      <w14:textFill>
                        <w14:solidFill>
                          <w14:schemeClr w14:val="tx1"/>
                        </w14:solidFill>
                      </w14:textFill>
                    </w:rPr>
                  </w:pPr>
                  <w:r>
                    <w:rPr>
                      <w:rStyle w:val="106"/>
                      <w:rFonts w:hint="default" w:ascii="Times New Roman" w:hAnsi="Times New Roman" w:cs="Times New Roman"/>
                      <w:color w:val="000000" w:themeColor="text1"/>
                      <w:sz w:val="18"/>
                      <w:szCs w:val="18"/>
                      <w:highlight w:val="none"/>
                      <w:lang w:bidi="ar"/>
                      <w14:textFill>
                        <w14:solidFill>
                          <w14:schemeClr w14:val="tx1"/>
                        </w14:solidFill>
                      </w14:textFill>
                    </w:rPr>
                    <w:t>日期</w:t>
                  </w:r>
                </w:p>
              </w:tc>
              <w:tc>
                <w:tcPr>
                  <w:tcW w:w="1851" w:type="pct"/>
                  <w:gridSpan w:val="2"/>
                  <w:vAlign w:val="center"/>
                </w:tcPr>
                <w:p>
                  <w:pPr>
                    <w:keepNext w:val="0"/>
                    <w:keepLines w:val="0"/>
                    <w:pageBreakBefore w:val="0"/>
                    <w:widowControl/>
                    <w:kinsoku/>
                    <w:wordWrap/>
                    <w:overflowPunct/>
                    <w:topLinePunct w:val="0"/>
                    <w:autoSpaceDE/>
                    <w:autoSpaceDN/>
                    <w:bidi w:val="0"/>
                    <w:adjustRightInd/>
                    <w:snapToGrid/>
                    <w:jc w:val="center"/>
                    <w:textAlignment w:val="top"/>
                    <w:rPr>
                      <w:rStyle w:val="106"/>
                      <w:rFonts w:hint="default" w:ascii="Times New Roman" w:hAnsi="Times New Roman" w:eastAsia="宋体" w:cs="Times New Roman"/>
                      <w:color w:val="000000" w:themeColor="text1"/>
                      <w:sz w:val="18"/>
                      <w:szCs w:val="18"/>
                      <w:highlight w:val="none"/>
                      <w:lang w:val="en-US" w:eastAsia="zh-CN" w:bidi="ar"/>
                      <w14:textFill>
                        <w14:solidFill>
                          <w14:schemeClr w14:val="tx1"/>
                        </w14:solidFill>
                      </w14:textFill>
                    </w:rPr>
                  </w:pPr>
                  <w:r>
                    <w:rPr>
                      <w:rStyle w:val="106"/>
                      <w:rFonts w:hint="eastAsia" w:cs="Times New Roman"/>
                      <w:color w:val="000000" w:themeColor="text1"/>
                      <w:sz w:val="18"/>
                      <w:szCs w:val="18"/>
                      <w:highlight w:val="none"/>
                      <w:lang w:val="en-US" w:eastAsia="zh-CN" w:bidi="ar"/>
                      <w14:textFill>
                        <w14:solidFill>
                          <w14:schemeClr w14:val="tx1"/>
                        </w14:solidFill>
                      </w14:textFill>
                    </w:rPr>
                    <w:t>2024.05.08</w:t>
                  </w:r>
                </w:p>
              </w:tc>
              <w:tc>
                <w:tcPr>
                  <w:tcW w:w="1966" w:type="pct"/>
                  <w:gridSpan w:val="2"/>
                  <w:vAlign w:val="center"/>
                </w:tcPr>
                <w:p>
                  <w:pPr>
                    <w:keepNext w:val="0"/>
                    <w:keepLines w:val="0"/>
                    <w:pageBreakBefore w:val="0"/>
                    <w:widowControl/>
                    <w:kinsoku/>
                    <w:wordWrap/>
                    <w:overflowPunct/>
                    <w:topLinePunct w:val="0"/>
                    <w:autoSpaceDE/>
                    <w:autoSpaceDN/>
                    <w:bidi w:val="0"/>
                    <w:adjustRightInd/>
                    <w:snapToGrid/>
                    <w:jc w:val="center"/>
                    <w:textAlignment w:val="top"/>
                    <w:rPr>
                      <w:rStyle w:val="106"/>
                      <w:rFonts w:hint="default" w:cs="Times New Roman"/>
                      <w:color w:val="000000" w:themeColor="text1"/>
                      <w:sz w:val="18"/>
                      <w:szCs w:val="18"/>
                      <w:highlight w:val="none"/>
                      <w:lang w:val="en-US" w:eastAsia="zh-CN" w:bidi="ar"/>
                      <w14:textFill>
                        <w14:solidFill>
                          <w14:schemeClr w14:val="tx1"/>
                        </w14:solidFill>
                      </w14:textFill>
                    </w:rPr>
                  </w:pPr>
                  <w:r>
                    <w:rPr>
                      <w:rStyle w:val="106"/>
                      <w:rFonts w:hint="eastAsia" w:cs="Times New Roman"/>
                      <w:color w:val="000000" w:themeColor="text1"/>
                      <w:sz w:val="18"/>
                      <w:szCs w:val="18"/>
                      <w:highlight w:val="none"/>
                      <w:lang w:val="en-US" w:eastAsia="zh-CN" w:bidi="ar"/>
                      <w14:textFill>
                        <w14:solidFill>
                          <w14:schemeClr w14:val="tx1"/>
                        </w14:solidFill>
                      </w14:textFill>
                    </w:rPr>
                    <w:t>2024.05.09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81" w:type="pct"/>
                  <w:vAlign w:val="center"/>
                </w:tcPr>
                <w:p>
                  <w:pPr>
                    <w:keepNext w:val="0"/>
                    <w:keepLines w:val="0"/>
                    <w:pageBreakBefore w:val="0"/>
                    <w:widowControl/>
                    <w:kinsoku/>
                    <w:wordWrap/>
                    <w:overflowPunct/>
                    <w:topLinePunct w:val="0"/>
                    <w:autoSpaceDE/>
                    <w:autoSpaceDN/>
                    <w:bidi w:val="0"/>
                    <w:adjustRightInd/>
                    <w:snapToGrid/>
                    <w:jc w:val="center"/>
                    <w:textAlignment w:val="top"/>
                    <w:rPr>
                      <w:rStyle w:val="106"/>
                      <w:rFonts w:hint="default" w:ascii="Times New Roman" w:hAnsi="Times New Roman" w:cs="Times New Roman"/>
                      <w:color w:val="000000" w:themeColor="text1"/>
                      <w:sz w:val="18"/>
                      <w:szCs w:val="18"/>
                      <w:highlight w:val="none"/>
                      <w:lang w:eastAsia="zh-CN" w:bidi="ar"/>
                      <w14:textFill>
                        <w14:solidFill>
                          <w14:schemeClr w14:val="tx1"/>
                        </w14:solidFill>
                      </w14:textFill>
                    </w:rPr>
                  </w:pPr>
                  <w:r>
                    <w:rPr>
                      <w:rStyle w:val="106"/>
                      <w:rFonts w:hint="default" w:ascii="Times New Roman" w:hAnsi="Times New Roman" w:cs="Times New Roman"/>
                      <w:color w:val="000000" w:themeColor="text1"/>
                      <w:sz w:val="18"/>
                      <w:szCs w:val="18"/>
                      <w:highlight w:val="none"/>
                      <w:lang w:bidi="ar"/>
                      <w14:textFill>
                        <w14:solidFill>
                          <w14:schemeClr w14:val="tx1"/>
                        </w14:solidFill>
                      </w14:textFill>
                    </w:rPr>
                    <w:t>采样点位</w:t>
                  </w:r>
                </w:p>
              </w:tc>
              <w:tc>
                <w:tcPr>
                  <w:tcW w:w="960" w:type="pct"/>
                  <w:vAlign w:val="center"/>
                </w:tcPr>
                <w:p>
                  <w:pPr>
                    <w:keepNext w:val="0"/>
                    <w:keepLines w:val="0"/>
                    <w:pageBreakBefore w:val="0"/>
                    <w:widowControl/>
                    <w:kinsoku/>
                    <w:wordWrap/>
                    <w:overflowPunct/>
                    <w:topLinePunct w:val="0"/>
                    <w:autoSpaceDE/>
                    <w:autoSpaceDN/>
                    <w:bidi w:val="0"/>
                    <w:adjustRightInd/>
                    <w:snapToGrid/>
                    <w:jc w:val="center"/>
                    <w:textAlignment w:val="top"/>
                    <w:rPr>
                      <w:rStyle w:val="106"/>
                      <w:rFonts w:hint="default" w:ascii="Times New Roman" w:hAnsi="Times New Roman" w:cs="Times New Roman"/>
                      <w:color w:val="000000" w:themeColor="text1"/>
                      <w:sz w:val="18"/>
                      <w:szCs w:val="18"/>
                      <w:highlight w:val="none"/>
                      <w:lang w:eastAsia="zh-CN" w:bidi="ar"/>
                      <w14:textFill>
                        <w14:solidFill>
                          <w14:schemeClr w14:val="tx1"/>
                        </w14:solidFill>
                      </w14:textFill>
                    </w:rPr>
                  </w:pPr>
                  <w:r>
                    <w:rPr>
                      <w:rStyle w:val="106"/>
                      <w:rFonts w:hint="default" w:ascii="Times New Roman" w:hAnsi="Times New Roman" w:cs="Times New Roman"/>
                      <w:color w:val="000000" w:themeColor="text1"/>
                      <w:sz w:val="18"/>
                      <w:szCs w:val="18"/>
                      <w:highlight w:val="none"/>
                      <w:lang w:bidi="ar"/>
                      <w14:textFill>
                        <w14:solidFill>
                          <w14:schemeClr w14:val="tx1"/>
                        </w14:solidFill>
                      </w14:textFill>
                    </w:rPr>
                    <w:t>昼间[dB(A)]</w:t>
                  </w:r>
                </w:p>
              </w:tc>
              <w:tc>
                <w:tcPr>
                  <w:tcW w:w="891" w:type="pct"/>
                  <w:vAlign w:val="center"/>
                </w:tcPr>
                <w:p>
                  <w:pPr>
                    <w:keepNext w:val="0"/>
                    <w:keepLines w:val="0"/>
                    <w:pageBreakBefore w:val="0"/>
                    <w:widowControl/>
                    <w:kinsoku/>
                    <w:wordWrap/>
                    <w:overflowPunct/>
                    <w:topLinePunct w:val="0"/>
                    <w:autoSpaceDE/>
                    <w:autoSpaceDN/>
                    <w:bidi w:val="0"/>
                    <w:adjustRightInd/>
                    <w:snapToGrid/>
                    <w:jc w:val="center"/>
                    <w:textAlignment w:val="top"/>
                    <w:rPr>
                      <w:rStyle w:val="106"/>
                      <w:rFonts w:hint="eastAsia" w:ascii="Times New Roman" w:hAnsi="Times New Roman" w:eastAsia="宋体" w:cs="Times New Roman"/>
                      <w:color w:val="000000" w:themeColor="text1"/>
                      <w:sz w:val="18"/>
                      <w:szCs w:val="18"/>
                      <w:highlight w:val="none"/>
                      <w:lang w:eastAsia="zh-CN" w:bidi="ar"/>
                      <w14:textFill>
                        <w14:solidFill>
                          <w14:schemeClr w14:val="tx1"/>
                        </w14:solidFill>
                      </w14:textFill>
                    </w:rPr>
                  </w:pPr>
                  <w:r>
                    <w:rPr>
                      <w:rStyle w:val="106"/>
                      <w:rFonts w:hint="default" w:ascii="Times New Roman" w:hAnsi="Times New Roman" w:cs="Times New Roman"/>
                      <w:color w:val="000000" w:themeColor="text1"/>
                      <w:sz w:val="18"/>
                      <w:szCs w:val="18"/>
                      <w:highlight w:val="none"/>
                      <w:lang w:bidi="ar"/>
                      <w14:textFill>
                        <w14:solidFill>
                          <w14:schemeClr w14:val="tx1"/>
                        </w14:solidFill>
                      </w14:textFill>
                    </w:rPr>
                    <w:t>夜间 [dB(A)]</w:t>
                  </w:r>
                </w:p>
              </w:tc>
              <w:tc>
                <w:tcPr>
                  <w:tcW w:w="963" w:type="pct"/>
                  <w:vAlign w:val="center"/>
                </w:tcPr>
                <w:p>
                  <w:pPr>
                    <w:keepNext w:val="0"/>
                    <w:keepLines w:val="0"/>
                    <w:pageBreakBefore w:val="0"/>
                    <w:widowControl/>
                    <w:kinsoku/>
                    <w:wordWrap/>
                    <w:overflowPunct/>
                    <w:topLinePunct w:val="0"/>
                    <w:autoSpaceDE/>
                    <w:autoSpaceDN/>
                    <w:bidi w:val="0"/>
                    <w:adjustRightInd/>
                    <w:snapToGrid/>
                    <w:jc w:val="center"/>
                    <w:textAlignment w:val="top"/>
                    <w:rPr>
                      <w:rStyle w:val="106"/>
                      <w:rFonts w:hint="default" w:ascii="Times New Roman" w:hAnsi="Times New Roman" w:cs="Times New Roman"/>
                      <w:color w:val="000000" w:themeColor="text1"/>
                      <w:sz w:val="18"/>
                      <w:szCs w:val="18"/>
                      <w:highlight w:val="none"/>
                      <w:lang w:bidi="ar"/>
                      <w14:textFill>
                        <w14:solidFill>
                          <w14:schemeClr w14:val="tx1"/>
                        </w14:solidFill>
                      </w14:textFill>
                    </w:rPr>
                  </w:pPr>
                  <w:r>
                    <w:rPr>
                      <w:rStyle w:val="106"/>
                      <w:rFonts w:hint="eastAsia" w:cs="Times New Roman"/>
                      <w:color w:val="000000" w:themeColor="text1"/>
                      <w:sz w:val="18"/>
                      <w:szCs w:val="18"/>
                      <w:highlight w:val="none"/>
                      <w:lang w:eastAsia="zh-CN" w:bidi="ar"/>
                      <w14:textFill>
                        <w14:solidFill>
                          <w14:schemeClr w14:val="tx1"/>
                        </w14:solidFill>
                      </w14:textFill>
                    </w:rPr>
                    <w:t>昼</w:t>
                  </w:r>
                  <w:r>
                    <w:rPr>
                      <w:rStyle w:val="106"/>
                      <w:rFonts w:hint="default" w:ascii="Times New Roman" w:hAnsi="Times New Roman" w:cs="Times New Roman"/>
                      <w:color w:val="000000" w:themeColor="text1"/>
                      <w:sz w:val="18"/>
                      <w:szCs w:val="18"/>
                      <w:highlight w:val="none"/>
                      <w:lang w:bidi="ar"/>
                      <w14:textFill>
                        <w14:solidFill>
                          <w14:schemeClr w14:val="tx1"/>
                        </w14:solidFill>
                      </w14:textFill>
                    </w:rPr>
                    <w:t>间 [dB(A)]</w:t>
                  </w:r>
                </w:p>
              </w:tc>
              <w:tc>
                <w:tcPr>
                  <w:tcW w:w="1003" w:type="pct"/>
                  <w:vAlign w:val="center"/>
                </w:tcPr>
                <w:p>
                  <w:pPr>
                    <w:keepNext w:val="0"/>
                    <w:keepLines w:val="0"/>
                    <w:pageBreakBefore w:val="0"/>
                    <w:widowControl/>
                    <w:kinsoku/>
                    <w:wordWrap/>
                    <w:overflowPunct/>
                    <w:topLinePunct w:val="0"/>
                    <w:autoSpaceDE/>
                    <w:autoSpaceDN/>
                    <w:bidi w:val="0"/>
                    <w:adjustRightInd/>
                    <w:snapToGrid/>
                    <w:jc w:val="center"/>
                    <w:textAlignment w:val="top"/>
                    <w:rPr>
                      <w:rStyle w:val="106"/>
                      <w:rFonts w:hint="default" w:ascii="Times New Roman" w:hAnsi="Times New Roman" w:cs="Times New Roman"/>
                      <w:color w:val="000000" w:themeColor="text1"/>
                      <w:sz w:val="18"/>
                      <w:szCs w:val="18"/>
                      <w:highlight w:val="none"/>
                      <w:lang w:bidi="ar"/>
                      <w14:textFill>
                        <w14:solidFill>
                          <w14:schemeClr w14:val="tx1"/>
                        </w14:solidFill>
                      </w14:textFill>
                    </w:rPr>
                  </w:pPr>
                  <w:r>
                    <w:rPr>
                      <w:rStyle w:val="106"/>
                      <w:rFonts w:hint="default" w:ascii="Times New Roman" w:hAnsi="Times New Roman" w:cs="Times New Roman"/>
                      <w:color w:val="000000" w:themeColor="text1"/>
                      <w:sz w:val="18"/>
                      <w:szCs w:val="18"/>
                      <w:highlight w:val="none"/>
                      <w:lang w:bidi="ar"/>
                      <w14:textFill>
                        <w14:solidFill>
                          <w14:schemeClr w14:val="tx1"/>
                        </w14:solidFill>
                      </w14:textFill>
                    </w:rPr>
                    <w:t>夜间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81" w:type="pct"/>
                  <w:vAlign w:val="center"/>
                </w:tcPr>
                <w:p>
                  <w:pPr>
                    <w:keepNext w:val="0"/>
                    <w:keepLines w:val="0"/>
                    <w:pageBreakBefore w:val="0"/>
                    <w:widowControl/>
                    <w:kinsoku/>
                    <w:wordWrap/>
                    <w:overflowPunct/>
                    <w:topLinePunct w:val="0"/>
                    <w:autoSpaceDE/>
                    <w:autoSpaceDN/>
                    <w:bidi w:val="0"/>
                    <w:adjustRightInd/>
                    <w:snapToGrid/>
                    <w:jc w:val="center"/>
                    <w:textAlignment w:val="top"/>
                    <w:rPr>
                      <w:rStyle w:val="106"/>
                      <w:rFonts w:hint="default" w:ascii="Times New Roman" w:hAnsi="Times New Roman" w:cs="Times New Roman"/>
                      <w:color w:val="000000" w:themeColor="text1"/>
                      <w:sz w:val="18"/>
                      <w:szCs w:val="18"/>
                      <w:highlight w:val="none"/>
                      <w:lang w:eastAsia="zh-CN" w:bidi="ar"/>
                      <w14:textFill>
                        <w14:solidFill>
                          <w14:schemeClr w14:val="tx1"/>
                        </w14:solidFill>
                      </w14:textFill>
                    </w:rPr>
                  </w:pPr>
                  <w:r>
                    <w:rPr>
                      <w:rStyle w:val="106"/>
                      <w:rFonts w:hint="default" w:ascii="Times New Roman" w:hAnsi="Times New Roman" w:cs="Times New Roman"/>
                      <w:color w:val="000000" w:themeColor="text1"/>
                      <w:sz w:val="18"/>
                      <w:szCs w:val="18"/>
                      <w:highlight w:val="none"/>
                      <w:lang w:bidi="ar"/>
                      <w14:textFill>
                        <w14:solidFill>
                          <w14:schemeClr w14:val="tx1"/>
                        </w14:solidFill>
                      </w14:textFill>
                    </w:rPr>
                    <w:t>厂界东外 1 米处 N1</w:t>
                  </w:r>
                </w:p>
              </w:tc>
              <w:tc>
                <w:tcPr>
                  <w:tcW w:w="960" w:type="pct"/>
                  <w:vAlign w:val="center"/>
                </w:tcPr>
                <w:p>
                  <w:pPr>
                    <w:keepNext w:val="0"/>
                    <w:keepLines w:val="0"/>
                    <w:pageBreakBefore w:val="0"/>
                    <w:kinsoku/>
                    <w:wordWrap/>
                    <w:overflowPunct/>
                    <w:topLinePunct w:val="0"/>
                    <w:autoSpaceDE/>
                    <w:autoSpaceDN/>
                    <w:bidi w:val="0"/>
                    <w:adjustRightInd/>
                    <w:snapToGrid/>
                    <w:jc w:val="center"/>
                    <w:rPr>
                      <w:rStyle w:val="106"/>
                      <w:rFonts w:hint="default" w:ascii="Times New Roman" w:hAnsi="Times New Roman" w:eastAsia="宋体" w:cs="Times New Roman"/>
                      <w:color w:val="000000" w:themeColor="text1"/>
                      <w:sz w:val="18"/>
                      <w:szCs w:val="18"/>
                      <w:highlight w:val="none"/>
                      <w:lang w:val="en-US" w:eastAsia="zh-CN" w:bidi="ar"/>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55.7</w:t>
                  </w:r>
                </w:p>
              </w:tc>
              <w:tc>
                <w:tcPr>
                  <w:tcW w:w="891"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43.7</w:t>
                  </w:r>
                </w:p>
              </w:tc>
              <w:tc>
                <w:tcPr>
                  <w:tcW w:w="963" w:type="pct"/>
                  <w:vAlign w:val="center"/>
                </w:tcPr>
                <w:p>
                  <w:pPr>
                    <w:keepNext w:val="0"/>
                    <w:keepLines w:val="0"/>
                    <w:pageBreakBefore w:val="0"/>
                    <w:kinsoku/>
                    <w:wordWrap/>
                    <w:overflowPunct/>
                    <w:topLinePunct w:val="0"/>
                    <w:autoSpaceDE/>
                    <w:autoSpaceDN/>
                    <w:bidi w:val="0"/>
                    <w:adjustRightInd/>
                    <w:snapToGrid/>
                    <w:jc w:val="center"/>
                    <w:rPr>
                      <w:rStyle w:val="106"/>
                      <w:rFonts w:hint="default" w:ascii="Times New Roman" w:hAnsi="Times New Roman" w:eastAsia="宋体" w:cs="Times New Roman"/>
                      <w:color w:val="000000" w:themeColor="text1"/>
                      <w:sz w:val="18"/>
                      <w:szCs w:val="18"/>
                      <w:highlight w:val="none"/>
                      <w:lang w:val="en-US" w:eastAsia="zh-CN" w:bidi="ar"/>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54.8</w:t>
                  </w:r>
                </w:p>
              </w:tc>
              <w:tc>
                <w:tcPr>
                  <w:tcW w:w="1003"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81" w:type="pct"/>
                  <w:vAlign w:val="center"/>
                </w:tcPr>
                <w:p>
                  <w:pPr>
                    <w:keepNext w:val="0"/>
                    <w:keepLines w:val="0"/>
                    <w:pageBreakBefore w:val="0"/>
                    <w:widowControl/>
                    <w:kinsoku/>
                    <w:wordWrap/>
                    <w:overflowPunct/>
                    <w:topLinePunct w:val="0"/>
                    <w:autoSpaceDE/>
                    <w:autoSpaceDN/>
                    <w:bidi w:val="0"/>
                    <w:adjustRightInd/>
                    <w:snapToGrid/>
                    <w:jc w:val="center"/>
                    <w:textAlignment w:val="top"/>
                    <w:rPr>
                      <w:rStyle w:val="106"/>
                      <w:rFonts w:hint="default" w:ascii="Times New Roman" w:hAnsi="Times New Roman" w:cs="Times New Roman"/>
                      <w:color w:val="000000" w:themeColor="text1"/>
                      <w:sz w:val="18"/>
                      <w:szCs w:val="18"/>
                      <w:highlight w:val="none"/>
                      <w:lang w:eastAsia="zh-CN" w:bidi="ar"/>
                      <w14:textFill>
                        <w14:solidFill>
                          <w14:schemeClr w14:val="tx1"/>
                        </w14:solidFill>
                      </w14:textFill>
                    </w:rPr>
                  </w:pPr>
                  <w:r>
                    <w:rPr>
                      <w:rStyle w:val="106"/>
                      <w:rFonts w:hint="default" w:ascii="Times New Roman" w:hAnsi="Times New Roman" w:cs="Times New Roman"/>
                      <w:color w:val="000000" w:themeColor="text1"/>
                      <w:sz w:val="18"/>
                      <w:szCs w:val="18"/>
                      <w:highlight w:val="none"/>
                      <w:lang w:bidi="ar"/>
                      <w14:textFill>
                        <w14:solidFill>
                          <w14:schemeClr w14:val="tx1"/>
                        </w14:solidFill>
                      </w14:textFill>
                    </w:rPr>
                    <w:t>厂界南外 1 米处 N2</w:t>
                  </w:r>
                </w:p>
              </w:tc>
              <w:tc>
                <w:tcPr>
                  <w:tcW w:w="960" w:type="pct"/>
                  <w:vAlign w:val="center"/>
                </w:tcPr>
                <w:p>
                  <w:pPr>
                    <w:keepNext w:val="0"/>
                    <w:keepLines w:val="0"/>
                    <w:pageBreakBefore w:val="0"/>
                    <w:kinsoku/>
                    <w:wordWrap/>
                    <w:overflowPunct/>
                    <w:topLinePunct w:val="0"/>
                    <w:autoSpaceDE/>
                    <w:autoSpaceDN/>
                    <w:bidi w:val="0"/>
                    <w:adjustRightInd/>
                    <w:snapToGrid/>
                    <w:jc w:val="center"/>
                    <w:rPr>
                      <w:rStyle w:val="106"/>
                      <w:rFonts w:hint="default" w:ascii="Times New Roman" w:hAnsi="Times New Roman" w:eastAsia="宋体" w:cs="Times New Roman"/>
                      <w:color w:val="000000" w:themeColor="text1"/>
                      <w:sz w:val="18"/>
                      <w:szCs w:val="18"/>
                      <w:highlight w:val="none"/>
                      <w:lang w:val="en-US" w:eastAsia="zh-CN" w:bidi="ar"/>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53.4</w:t>
                  </w:r>
                </w:p>
              </w:tc>
              <w:tc>
                <w:tcPr>
                  <w:tcW w:w="891"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000000" w:themeColor="text1"/>
                      <w:highlight w:val="none"/>
                      <w:lang w:val="en-US"/>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45.9</w:t>
                  </w:r>
                </w:p>
              </w:tc>
              <w:tc>
                <w:tcPr>
                  <w:tcW w:w="963" w:type="pct"/>
                  <w:vAlign w:val="center"/>
                </w:tcPr>
                <w:p>
                  <w:pPr>
                    <w:keepNext w:val="0"/>
                    <w:keepLines w:val="0"/>
                    <w:pageBreakBefore w:val="0"/>
                    <w:kinsoku/>
                    <w:wordWrap/>
                    <w:overflowPunct/>
                    <w:topLinePunct w:val="0"/>
                    <w:autoSpaceDE/>
                    <w:autoSpaceDN/>
                    <w:bidi w:val="0"/>
                    <w:adjustRightInd/>
                    <w:snapToGrid/>
                    <w:jc w:val="center"/>
                    <w:rPr>
                      <w:rStyle w:val="106"/>
                      <w:rFonts w:hint="default" w:ascii="Times New Roman" w:hAnsi="Times New Roman" w:eastAsia="宋体" w:cs="Times New Roman"/>
                      <w:color w:val="000000" w:themeColor="text1"/>
                      <w:sz w:val="18"/>
                      <w:szCs w:val="18"/>
                      <w:highlight w:val="none"/>
                      <w:lang w:val="en-US" w:eastAsia="zh-CN" w:bidi="ar"/>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55.1</w:t>
                  </w:r>
                </w:p>
              </w:tc>
              <w:tc>
                <w:tcPr>
                  <w:tcW w:w="1003"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81" w:type="pct"/>
                  <w:vAlign w:val="center"/>
                </w:tcPr>
                <w:p>
                  <w:pPr>
                    <w:keepNext w:val="0"/>
                    <w:keepLines w:val="0"/>
                    <w:pageBreakBefore w:val="0"/>
                    <w:widowControl/>
                    <w:kinsoku/>
                    <w:wordWrap/>
                    <w:overflowPunct/>
                    <w:topLinePunct w:val="0"/>
                    <w:autoSpaceDE/>
                    <w:autoSpaceDN/>
                    <w:bidi w:val="0"/>
                    <w:adjustRightInd/>
                    <w:snapToGrid/>
                    <w:jc w:val="center"/>
                    <w:textAlignment w:val="top"/>
                    <w:rPr>
                      <w:rStyle w:val="106"/>
                      <w:rFonts w:hint="default" w:ascii="Times New Roman" w:hAnsi="Times New Roman" w:cs="Times New Roman"/>
                      <w:color w:val="000000" w:themeColor="text1"/>
                      <w:sz w:val="18"/>
                      <w:szCs w:val="18"/>
                      <w:highlight w:val="none"/>
                      <w:lang w:eastAsia="zh-CN" w:bidi="ar"/>
                      <w14:textFill>
                        <w14:solidFill>
                          <w14:schemeClr w14:val="tx1"/>
                        </w14:solidFill>
                      </w14:textFill>
                    </w:rPr>
                  </w:pPr>
                  <w:r>
                    <w:rPr>
                      <w:rStyle w:val="106"/>
                      <w:rFonts w:hint="default" w:ascii="Times New Roman" w:hAnsi="Times New Roman" w:cs="Times New Roman"/>
                      <w:color w:val="000000" w:themeColor="text1"/>
                      <w:sz w:val="18"/>
                      <w:szCs w:val="18"/>
                      <w:highlight w:val="none"/>
                      <w:lang w:bidi="ar"/>
                      <w14:textFill>
                        <w14:solidFill>
                          <w14:schemeClr w14:val="tx1"/>
                        </w14:solidFill>
                      </w14:textFill>
                    </w:rPr>
                    <w:t>厂界西外 1 米外 N3</w:t>
                  </w:r>
                </w:p>
              </w:tc>
              <w:tc>
                <w:tcPr>
                  <w:tcW w:w="960" w:type="pct"/>
                  <w:vAlign w:val="center"/>
                </w:tcPr>
                <w:p>
                  <w:pPr>
                    <w:keepNext w:val="0"/>
                    <w:keepLines w:val="0"/>
                    <w:pageBreakBefore w:val="0"/>
                    <w:kinsoku/>
                    <w:wordWrap/>
                    <w:overflowPunct/>
                    <w:topLinePunct w:val="0"/>
                    <w:autoSpaceDE/>
                    <w:autoSpaceDN/>
                    <w:bidi w:val="0"/>
                    <w:adjustRightInd/>
                    <w:snapToGrid/>
                    <w:jc w:val="center"/>
                    <w:rPr>
                      <w:rStyle w:val="106"/>
                      <w:rFonts w:hint="default" w:ascii="Times New Roman" w:hAnsi="Times New Roman" w:eastAsia="宋体" w:cs="Times New Roman"/>
                      <w:color w:val="000000" w:themeColor="text1"/>
                      <w:sz w:val="18"/>
                      <w:szCs w:val="18"/>
                      <w:highlight w:val="none"/>
                      <w:lang w:val="en-US" w:eastAsia="zh-CN" w:bidi="ar"/>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52.9</w:t>
                  </w:r>
                </w:p>
              </w:tc>
              <w:tc>
                <w:tcPr>
                  <w:tcW w:w="891"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42.3</w:t>
                  </w:r>
                </w:p>
              </w:tc>
              <w:tc>
                <w:tcPr>
                  <w:tcW w:w="963" w:type="pct"/>
                  <w:vAlign w:val="center"/>
                </w:tcPr>
                <w:p>
                  <w:pPr>
                    <w:keepNext w:val="0"/>
                    <w:keepLines w:val="0"/>
                    <w:pageBreakBefore w:val="0"/>
                    <w:kinsoku/>
                    <w:wordWrap/>
                    <w:overflowPunct/>
                    <w:topLinePunct w:val="0"/>
                    <w:autoSpaceDE/>
                    <w:autoSpaceDN/>
                    <w:bidi w:val="0"/>
                    <w:adjustRightInd/>
                    <w:snapToGrid/>
                    <w:jc w:val="center"/>
                    <w:rPr>
                      <w:rStyle w:val="106"/>
                      <w:rFonts w:hint="default" w:ascii="Times New Roman" w:hAnsi="Times New Roman" w:eastAsia="宋体" w:cs="Times New Roman"/>
                      <w:color w:val="000000" w:themeColor="text1"/>
                      <w:sz w:val="18"/>
                      <w:szCs w:val="18"/>
                      <w:highlight w:val="none"/>
                      <w:lang w:val="en-US" w:eastAsia="zh-CN" w:bidi="ar"/>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53.7</w:t>
                  </w:r>
                </w:p>
              </w:tc>
              <w:tc>
                <w:tcPr>
                  <w:tcW w:w="1003"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81" w:type="pct"/>
                  <w:vAlign w:val="center"/>
                </w:tcPr>
                <w:p>
                  <w:pPr>
                    <w:keepNext w:val="0"/>
                    <w:keepLines w:val="0"/>
                    <w:pageBreakBefore w:val="0"/>
                    <w:widowControl/>
                    <w:kinsoku/>
                    <w:wordWrap/>
                    <w:overflowPunct/>
                    <w:topLinePunct w:val="0"/>
                    <w:autoSpaceDE/>
                    <w:autoSpaceDN/>
                    <w:bidi w:val="0"/>
                    <w:adjustRightInd/>
                    <w:snapToGrid/>
                    <w:jc w:val="center"/>
                    <w:textAlignment w:val="top"/>
                    <w:rPr>
                      <w:rStyle w:val="106"/>
                      <w:rFonts w:hint="default" w:ascii="Times New Roman" w:hAnsi="Times New Roman" w:cs="Times New Roman"/>
                      <w:color w:val="000000" w:themeColor="text1"/>
                      <w:sz w:val="18"/>
                      <w:szCs w:val="18"/>
                      <w:highlight w:val="none"/>
                      <w:lang w:eastAsia="zh-CN" w:bidi="ar"/>
                      <w14:textFill>
                        <w14:solidFill>
                          <w14:schemeClr w14:val="tx1"/>
                        </w14:solidFill>
                      </w14:textFill>
                    </w:rPr>
                  </w:pPr>
                  <w:r>
                    <w:rPr>
                      <w:rStyle w:val="106"/>
                      <w:rFonts w:hint="default" w:ascii="Times New Roman" w:hAnsi="Times New Roman" w:cs="Times New Roman"/>
                      <w:color w:val="000000" w:themeColor="text1"/>
                      <w:sz w:val="18"/>
                      <w:szCs w:val="18"/>
                      <w:highlight w:val="none"/>
                      <w:lang w:bidi="ar"/>
                      <w14:textFill>
                        <w14:solidFill>
                          <w14:schemeClr w14:val="tx1"/>
                        </w14:solidFill>
                      </w14:textFill>
                    </w:rPr>
                    <w:t>厂界北外 1 米外 N4</w:t>
                  </w:r>
                </w:p>
              </w:tc>
              <w:tc>
                <w:tcPr>
                  <w:tcW w:w="960" w:type="pct"/>
                  <w:vAlign w:val="center"/>
                </w:tcPr>
                <w:p>
                  <w:pPr>
                    <w:keepNext w:val="0"/>
                    <w:keepLines w:val="0"/>
                    <w:pageBreakBefore w:val="0"/>
                    <w:kinsoku/>
                    <w:wordWrap/>
                    <w:overflowPunct/>
                    <w:topLinePunct w:val="0"/>
                    <w:autoSpaceDE/>
                    <w:autoSpaceDN/>
                    <w:bidi w:val="0"/>
                    <w:adjustRightInd/>
                    <w:snapToGrid/>
                    <w:jc w:val="center"/>
                    <w:rPr>
                      <w:rStyle w:val="106"/>
                      <w:rFonts w:hint="default" w:ascii="Times New Roman" w:hAnsi="Times New Roman" w:eastAsia="宋体" w:cs="Times New Roman"/>
                      <w:color w:val="000000" w:themeColor="text1"/>
                      <w:sz w:val="18"/>
                      <w:szCs w:val="18"/>
                      <w:highlight w:val="none"/>
                      <w:lang w:val="en-US" w:eastAsia="zh-CN" w:bidi="ar"/>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56.1</w:t>
                  </w:r>
                </w:p>
              </w:tc>
              <w:tc>
                <w:tcPr>
                  <w:tcW w:w="891"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000000" w:themeColor="text1"/>
                      <w:highlight w:val="none"/>
                      <w:lang w:val="en-US"/>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44.4</w:t>
                  </w:r>
                </w:p>
              </w:tc>
              <w:tc>
                <w:tcPr>
                  <w:tcW w:w="963" w:type="pct"/>
                  <w:vAlign w:val="center"/>
                </w:tcPr>
                <w:p>
                  <w:pPr>
                    <w:keepNext w:val="0"/>
                    <w:keepLines w:val="0"/>
                    <w:pageBreakBefore w:val="0"/>
                    <w:kinsoku/>
                    <w:wordWrap/>
                    <w:overflowPunct/>
                    <w:topLinePunct w:val="0"/>
                    <w:autoSpaceDE/>
                    <w:autoSpaceDN/>
                    <w:bidi w:val="0"/>
                    <w:adjustRightInd/>
                    <w:snapToGrid/>
                    <w:jc w:val="center"/>
                    <w:rPr>
                      <w:rStyle w:val="106"/>
                      <w:rFonts w:hint="default" w:ascii="Times New Roman" w:hAnsi="Times New Roman" w:eastAsia="宋体" w:cs="Times New Roman"/>
                      <w:color w:val="000000" w:themeColor="text1"/>
                      <w:sz w:val="18"/>
                      <w:szCs w:val="18"/>
                      <w:highlight w:val="none"/>
                      <w:lang w:val="en-US" w:eastAsia="zh-CN" w:bidi="ar"/>
                      <w14:textFill>
                        <w14:solidFill>
                          <w14:schemeClr w14:val="tx1"/>
                        </w14:solidFill>
                      </w14:textFill>
                    </w:rPr>
                  </w:pPr>
                  <w:r>
                    <w:rPr>
                      <w:rStyle w:val="106"/>
                      <w:rFonts w:hint="eastAsia" w:cs="Times New Roman"/>
                      <w:color w:val="000000" w:themeColor="text1"/>
                      <w:sz w:val="18"/>
                      <w:szCs w:val="18"/>
                      <w:highlight w:val="none"/>
                      <w:lang w:val="en-US" w:eastAsia="zh-CN" w:bidi="ar"/>
                      <w14:textFill>
                        <w14:solidFill>
                          <w14:schemeClr w14:val="tx1"/>
                        </w14:solidFill>
                      </w14:textFill>
                    </w:rPr>
                    <w:t>51.9</w:t>
                  </w:r>
                </w:p>
              </w:tc>
              <w:tc>
                <w:tcPr>
                  <w:tcW w:w="1003"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44.9</w:t>
                  </w:r>
                </w:p>
              </w:tc>
            </w:tr>
          </w:tbl>
          <w:p>
            <w:pPr>
              <w:adjustRightInd/>
              <w:snapToGrid/>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本次验收监测结果表明，项目厂界四周噪声昼间、夜间测量值均满足</w:t>
            </w:r>
            <w:r>
              <w:rPr>
                <w:rFonts w:hint="eastAsia"/>
                <w:color w:val="000000" w:themeColor="text1"/>
                <w:sz w:val="24"/>
                <w:szCs w:val="24"/>
                <w:highlight w:val="none"/>
                <w:lang w:eastAsia="zh-CN"/>
                <w14:textFill>
                  <w14:solidFill>
                    <w14:schemeClr w14:val="tx1"/>
                  </w14:solidFill>
                </w14:textFill>
              </w:rPr>
              <w:t>《工业企业厂界环境噪声排放标准》(GB12348-2008)中</w:t>
            </w: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lang w:eastAsia="zh-CN"/>
                <w14:textFill>
                  <w14:solidFill>
                    <w14:schemeClr w14:val="tx1"/>
                  </w14:solidFill>
                </w14:textFill>
              </w:rPr>
              <w:t>类标准。</w:t>
            </w:r>
          </w:p>
          <w:p>
            <w:pPr>
              <w:pStyle w:val="27"/>
              <w:keepNext w:val="0"/>
              <w:keepLines w:val="0"/>
              <w:pageBreakBefore w:val="0"/>
              <w:widowControl w:val="0"/>
              <w:kinsoku/>
              <w:wordWrap/>
              <w:overflowPunct/>
              <w:topLinePunct w:val="0"/>
              <w:autoSpaceDE/>
              <w:autoSpaceDN/>
              <w:bidi w:val="0"/>
              <w:spacing w:after="0" w:line="360" w:lineRule="auto"/>
              <w:ind w:firstLine="0" w:firstLineChars="0"/>
              <w:jc w:val="left"/>
              <w:textAlignment w:val="auto"/>
              <w:rPr>
                <w:b/>
                <w:bCs/>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7.2.4 废水排放监测结果及分析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项目废水监测结果见下表。</w:t>
            </w:r>
          </w:p>
          <w:p>
            <w:pPr>
              <w:snapToGrid w:val="0"/>
              <w:jc w:val="center"/>
              <w:rPr>
                <w:b/>
                <w:color w:val="000000" w:themeColor="text1"/>
                <w:sz w:val="18"/>
                <w:szCs w:val="18"/>
                <w:highlight w:val="none"/>
                <w14:textFill>
                  <w14:solidFill>
                    <w14:schemeClr w14:val="tx1"/>
                  </w14:solidFill>
                </w14:textFill>
              </w:rPr>
            </w:pPr>
          </w:p>
          <w:p>
            <w:pPr>
              <w:snapToGrid w:val="0"/>
              <w:jc w:val="center"/>
              <w:rPr>
                <w:rFonts w:hint="default" w:eastAsia="宋体"/>
                <w:b/>
                <w:color w:val="000000" w:themeColor="text1"/>
                <w:sz w:val="18"/>
                <w:szCs w:val="18"/>
                <w:highlight w:val="none"/>
                <w:lang w:val="en-US" w:eastAsia="zh-CN"/>
                <w14:textFill>
                  <w14:solidFill>
                    <w14:schemeClr w14:val="tx1"/>
                  </w14:solidFill>
                </w14:textFill>
              </w:rPr>
            </w:pPr>
            <w:r>
              <w:rPr>
                <w:b/>
                <w:color w:val="000000" w:themeColor="text1"/>
                <w:sz w:val="18"/>
                <w:szCs w:val="18"/>
                <w:highlight w:val="none"/>
                <w14:textFill>
                  <w14:solidFill>
                    <w14:schemeClr w14:val="tx1"/>
                  </w14:solidFill>
                </w14:textFill>
              </w:rPr>
              <w:t>表7-6  废水监测结果一览表</w:t>
            </w:r>
            <w:r>
              <w:rPr>
                <w:rFonts w:hint="eastAsia"/>
                <w:b/>
                <w:color w:val="000000" w:themeColor="text1"/>
                <w:sz w:val="18"/>
                <w:szCs w:val="18"/>
                <w:highlight w:val="none"/>
                <w:lang w:eastAsia="zh-CN"/>
                <w14:textFill>
                  <w14:solidFill>
                    <w14:schemeClr w14:val="tx1"/>
                  </w14:solidFill>
                </w14:textFill>
              </w:rPr>
              <w:t>，单位：</w:t>
            </w:r>
            <w:r>
              <w:rPr>
                <w:rFonts w:hint="eastAsia"/>
                <w:b/>
                <w:color w:val="000000" w:themeColor="text1"/>
                <w:sz w:val="18"/>
                <w:szCs w:val="18"/>
                <w:highlight w:val="none"/>
                <w:lang w:val="en-US" w:eastAsia="zh-CN"/>
                <w14:textFill>
                  <w14:solidFill>
                    <w14:schemeClr w14:val="tx1"/>
                  </w14:solidFill>
                </w14:textFill>
              </w:rPr>
              <w:t>mg/L</w:t>
            </w:r>
          </w:p>
          <w:tbl>
            <w:tblPr>
              <w:tblStyle w:val="29"/>
              <w:tblW w:w="4996"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990"/>
              <w:gridCol w:w="879"/>
              <w:gridCol w:w="882"/>
              <w:gridCol w:w="882"/>
              <w:gridCol w:w="888"/>
              <w:gridCol w:w="882"/>
              <w:gridCol w:w="882"/>
              <w:gridCol w:w="883"/>
              <w:gridCol w:w="89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40"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eastAsia="zh-CN" w:bidi="ar"/>
                      <w14:textFill>
                        <w14:solidFill>
                          <w14:schemeClr w14:val="tx1"/>
                        </w14:solidFill>
                      </w14:textFill>
                    </w:rPr>
                    <w:t>项目</w:t>
                  </w:r>
                  <w:r>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t>/采样点位</w:t>
                  </w:r>
                </w:p>
              </w:tc>
              <w:tc>
                <w:tcPr>
                  <w:tcW w:w="3759" w:type="pct"/>
                  <w:gridSpan w:val="8"/>
                  <w:tcBorders>
                    <w:tl2br w:val="nil"/>
                    <w:tr2bl w:val="nil"/>
                  </w:tcBorders>
                  <w:shd w:val="clear" w:color="auto" w:fill="auto"/>
                  <w:vAlign w:val="center"/>
                </w:tcPr>
                <w:p>
                  <w:pPr>
                    <w:widowControl/>
                    <w:jc w:val="center"/>
                    <w:textAlignment w:val="top"/>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eastAsia="zh-CN" w:bidi="ar"/>
                      <w14:textFill>
                        <w14:solidFill>
                          <w14:schemeClr w14:val="tx1"/>
                        </w14:solidFill>
                      </w14:textFill>
                    </w:rPr>
                    <w:t>废水进口</w:t>
                  </w:r>
                  <w:r>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t>FS01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40"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采样时间</w:t>
                  </w:r>
                </w:p>
              </w:tc>
              <w:tc>
                <w:tcPr>
                  <w:tcW w:w="1877" w:type="pct"/>
                  <w:gridSpan w:val="4"/>
                  <w:tcBorders>
                    <w:tl2br w:val="nil"/>
                    <w:tr2bl w:val="nil"/>
                  </w:tcBorders>
                  <w:shd w:val="clear" w:color="auto" w:fill="auto"/>
                  <w:vAlign w:val="center"/>
                </w:tcPr>
                <w:p>
                  <w:pPr>
                    <w:widowControl/>
                    <w:jc w:val="center"/>
                    <w:textAlignment w:val="top"/>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2024.05.08</w:t>
                  </w:r>
                </w:p>
              </w:tc>
              <w:tc>
                <w:tcPr>
                  <w:tcW w:w="1882" w:type="pct"/>
                  <w:gridSpan w:val="4"/>
                  <w:tcBorders>
                    <w:tl2br w:val="nil"/>
                    <w:tr2bl w:val="nil"/>
                  </w:tcBorders>
                  <w:shd w:val="clear" w:color="auto" w:fill="auto"/>
                  <w:vAlign w:val="center"/>
                </w:tcPr>
                <w:p>
                  <w:pPr>
                    <w:widowControl/>
                    <w:jc w:val="center"/>
                    <w:textAlignment w:val="top"/>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t>2024.05.09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40" w:type="pct"/>
                  <w:tcBorders>
                    <w:tl2br w:val="nil"/>
                    <w:tr2bl w:val="nil"/>
                  </w:tcBorders>
                  <w:shd w:val="clear" w:color="auto" w:fill="auto"/>
                  <w:vAlign w:val="center"/>
                </w:tcPr>
                <w:p>
                  <w:pPr>
                    <w:widowControl/>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t>检测项目</w:t>
                  </w:r>
                </w:p>
              </w:tc>
              <w:tc>
                <w:tcPr>
                  <w:tcW w:w="467" w:type="pct"/>
                  <w:tcBorders>
                    <w:tl2br w:val="nil"/>
                    <w:tr2bl w:val="nil"/>
                  </w:tcBorders>
                  <w:shd w:val="clear" w:color="auto" w:fill="auto"/>
                  <w:vAlign w:val="center"/>
                </w:tcPr>
                <w:p>
                  <w:pPr>
                    <w:widowControl/>
                    <w:jc w:val="center"/>
                    <w:textAlignment w:val="top"/>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第一次</w:t>
                  </w:r>
                </w:p>
              </w:tc>
              <w:tc>
                <w:tcPr>
                  <w:tcW w:w="469" w:type="pct"/>
                  <w:tcBorders>
                    <w:tl2br w:val="nil"/>
                    <w:tr2bl w:val="nil"/>
                  </w:tcBorders>
                  <w:shd w:val="clear" w:color="auto" w:fill="auto"/>
                  <w:vAlign w:val="center"/>
                </w:tcPr>
                <w:p>
                  <w:pPr>
                    <w:widowControl/>
                    <w:jc w:val="center"/>
                    <w:textAlignment w:val="top"/>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第二次</w:t>
                  </w:r>
                </w:p>
              </w:tc>
              <w:tc>
                <w:tcPr>
                  <w:tcW w:w="469" w:type="pct"/>
                  <w:tcBorders>
                    <w:tl2br w:val="nil"/>
                    <w:tr2bl w:val="nil"/>
                  </w:tcBorders>
                  <w:shd w:val="clear" w:color="auto" w:fill="auto"/>
                  <w:vAlign w:val="center"/>
                </w:tcPr>
                <w:p>
                  <w:pPr>
                    <w:widowControl/>
                    <w:jc w:val="center"/>
                    <w:textAlignment w:val="top"/>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第三次</w:t>
                  </w:r>
                </w:p>
              </w:tc>
              <w:tc>
                <w:tcPr>
                  <w:tcW w:w="470" w:type="pct"/>
                  <w:tcBorders>
                    <w:tl2br w:val="nil"/>
                    <w:tr2bl w:val="nil"/>
                  </w:tcBorders>
                  <w:shd w:val="clear" w:color="auto" w:fill="auto"/>
                  <w:vAlign w:val="center"/>
                </w:tcPr>
                <w:p>
                  <w:pPr>
                    <w:widowControl/>
                    <w:jc w:val="center"/>
                    <w:textAlignment w:val="top"/>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第四次</w:t>
                  </w:r>
                </w:p>
              </w:tc>
              <w:tc>
                <w:tcPr>
                  <w:tcW w:w="469" w:type="pct"/>
                  <w:tcBorders>
                    <w:tl2br w:val="nil"/>
                    <w:tr2bl w:val="nil"/>
                  </w:tcBorders>
                  <w:shd w:val="clear" w:color="auto" w:fill="auto"/>
                  <w:vAlign w:val="center"/>
                </w:tcPr>
                <w:p>
                  <w:pPr>
                    <w:widowControl/>
                    <w:jc w:val="center"/>
                    <w:textAlignment w:val="top"/>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第一次</w:t>
                  </w:r>
                </w:p>
              </w:tc>
              <w:tc>
                <w:tcPr>
                  <w:tcW w:w="469" w:type="pct"/>
                  <w:tcBorders>
                    <w:tl2br w:val="nil"/>
                    <w:tr2bl w:val="nil"/>
                  </w:tcBorders>
                  <w:shd w:val="clear" w:color="auto" w:fill="auto"/>
                  <w:vAlign w:val="center"/>
                </w:tcPr>
                <w:p>
                  <w:pPr>
                    <w:widowControl/>
                    <w:jc w:val="center"/>
                    <w:textAlignment w:val="top"/>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第二次</w:t>
                  </w:r>
                </w:p>
              </w:tc>
              <w:tc>
                <w:tcPr>
                  <w:tcW w:w="469" w:type="pct"/>
                  <w:tcBorders>
                    <w:tl2br w:val="nil"/>
                    <w:tr2bl w:val="nil"/>
                  </w:tcBorders>
                  <w:shd w:val="clear" w:color="auto" w:fill="auto"/>
                  <w:vAlign w:val="center"/>
                </w:tcPr>
                <w:p>
                  <w:pPr>
                    <w:widowControl/>
                    <w:jc w:val="center"/>
                    <w:textAlignment w:val="top"/>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第三次</w:t>
                  </w:r>
                </w:p>
              </w:tc>
              <w:tc>
                <w:tcPr>
                  <w:tcW w:w="474" w:type="pct"/>
                  <w:tcBorders>
                    <w:tl2br w:val="nil"/>
                    <w:tr2bl w:val="nil"/>
                  </w:tcBorders>
                  <w:shd w:val="clear" w:color="auto" w:fill="auto"/>
                  <w:vAlign w:val="center"/>
                </w:tcPr>
                <w:p>
                  <w:pPr>
                    <w:widowControl/>
                    <w:jc w:val="center"/>
                    <w:textAlignment w:val="top"/>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第四次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7" w:hRule="atLeast"/>
              </w:trPr>
              <w:tc>
                <w:tcPr>
                  <w:tcW w:w="1240" w:type="pct"/>
                  <w:tcBorders>
                    <w:tl2br w:val="nil"/>
                    <w:tr2bl w:val="nil"/>
                  </w:tcBorders>
                  <w:shd w:val="clear" w:color="auto" w:fill="auto"/>
                  <w:vAlign w:val="center"/>
                </w:tcPr>
                <w:p>
                  <w:pPr>
                    <w:widowControl/>
                    <w:jc w:val="center"/>
                    <w:textAlignment w:val="top"/>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pH</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（无量纲）</w:t>
                  </w:r>
                </w:p>
              </w:tc>
              <w:tc>
                <w:tcPr>
                  <w:tcW w:w="467"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7.22</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7.09</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7.34</w:t>
                  </w:r>
                </w:p>
              </w:tc>
              <w:tc>
                <w:tcPr>
                  <w:tcW w:w="470"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7.28</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7.07</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7.15</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7.36</w:t>
                  </w:r>
                </w:p>
              </w:tc>
              <w:tc>
                <w:tcPr>
                  <w:tcW w:w="474"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7.20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40" w:type="pct"/>
                  <w:tcBorders>
                    <w:tl2br w:val="nil"/>
                    <w:tr2bl w:val="nil"/>
                  </w:tcBorders>
                  <w:shd w:val="clear" w:color="auto" w:fill="auto"/>
                  <w:vAlign w:val="center"/>
                </w:tcPr>
                <w:p>
                  <w:pPr>
                    <w:widowControl/>
                    <w:jc w:val="center"/>
                    <w:textAlignment w:val="top"/>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化学需氧量</w:t>
                  </w:r>
                </w:p>
              </w:tc>
              <w:tc>
                <w:tcPr>
                  <w:tcW w:w="467"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184</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172</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180</w:t>
                  </w:r>
                </w:p>
              </w:tc>
              <w:tc>
                <w:tcPr>
                  <w:tcW w:w="470"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170</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181</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178</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182</w:t>
                  </w:r>
                </w:p>
              </w:tc>
              <w:tc>
                <w:tcPr>
                  <w:tcW w:w="474"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175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40" w:type="pct"/>
                  <w:tcBorders>
                    <w:tl2br w:val="nil"/>
                    <w:tr2bl w:val="nil"/>
                  </w:tcBorders>
                  <w:shd w:val="clear" w:color="auto" w:fill="auto"/>
                  <w:vAlign w:val="center"/>
                </w:tcPr>
                <w:p>
                  <w:pPr>
                    <w:widowControl/>
                    <w:jc w:val="center"/>
                    <w:textAlignment w:val="top"/>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氨氮</w:t>
                  </w:r>
                </w:p>
              </w:tc>
              <w:tc>
                <w:tcPr>
                  <w:tcW w:w="467"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18.3</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16.2</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17.4</w:t>
                  </w:r>
                </w:p>
              </w:tc>
              <w:tc>
                <w:tcPr>
                  <w:tcW w:w="470"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19.1</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18.7</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20.6</w:t>
                  </w:r>
                </w:p>
              </w:tc>
              <w:tc>
                <w:tcPr>
                  <w:tcW w:w="469" w:type="pct"/>
                  <w:tcBorders>
                    <w:tl2br w:val="nil"/>
                    <w:tr2bl w:val="nil"/>
                  </w:tcBorders>
                  <w:shd w:val="clear" w:color="auto" w:fill="auto"/>
                  <w:noWrap/>
                  <w:vAlign w:val="center"/>
                </w:tcPr>
                <w:p>
                  <w:pPr>
                    <w:pStyle w:val="69"/>
                    <w:tabs>
                      <w:tab w:val="left" w:pos="575"/>
                    </w:tabs>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16.3</w:t>
                  </w:r>
                </w:p>
              </w:tc>
              <w:tc>
                <w:tcPr>
                  <w:tcW w:w="474"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17.9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40" w:type="pct"/>
                  <w:tcBorders>
                    <w:tl2br w:val="nil"/>
                    <w:tr2bl w:val="nil"/>
                  </w:tcBorders>
                  <w:shd w:val="clear" w:color="auto" w:fill="auto"/>
                  <w:vAlign w:val="center"/>
                </w:tcPr>
                <w:p>
                  <w:pPr>
                    <w:widowControl/>
                    <w:jc w:val="center"/>
                    <w:textAlignment w:val="top"/>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五日生化需氧量</w:t>
                  </w:r>
                </w:p>
              </w:tc>
              <w:tc>
                <w:tcPr>
                  <w:tcW w:w="467"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76.8</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72.9</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78.4</w:t>
                  </w:r>
                </w:p>
              </w:tc>
              <w:tc>
                <w:tcPr>
                  <w:tcW w:w="470"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69.5</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80.1</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73.2</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76.5</w:t>
                  </w:r>
                </w:p>
              </w:tc>
              <w:tc>
                <w:tcPr>
                  <w:tcW w:w="474"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78.0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40" w:type="pct"/>
                  <w:tcBorders>
                    <w:tl2br w:val="nil"/>
                    <w:tr2bl w:val="nil"/>
                  </w:tcBorders>
                  <w:shd w:val="clear" w:color="auto" w:fill="auto"/>
                  <w:vAlign w:val="center"/>
                </w:tcPr>
                <w:p>
                  <w:pPr>
                    <w:widowControl/>
                    <w:jc w:val="center"/>
                    <w:textAlignment w:val="top"/>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悬浮物</w:t>
                  </w:r>
                </w:p>
              </w:tc>
              <w:tc>
                <w:tcPr>
                  <w:tcW w:w="467"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40</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37</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39</w:t>
                  </w:r>
                </w:p>
              </w:tc>
              <w:tc>
                <w:tcPr>
                  <w:tcW w:w="470"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42</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34</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44</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39</w:t>
                  </w:r>
                </w:p>
              </w:tc>
              <w:tc>
                <w:tcPr>
                  <w:tcW w:w="474"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47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40" w:type="pct"/>
                  <w:tcBorders>
                    <w:tl2br w:val="nil"/>
                    <w:tr2bl w:val="nil"/>
                  </w:tcBorders>
                  <w:shd w:val="clear" w:color="auto" w:fill="auto"/>
                  <w:vAlign w:val="center"/>
                </w:tcPr>
                <w:p>
                  <w:pPr>
                    <w:widowControl/>
                    <w:jc w:val="center"/>
                    <w:textAlignment w:val="top"/>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粪大肠菌群（</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MPN/L</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p>
              </w:tc>
              <w:tc>
                <w:tcPr>
                  <w:tcW w:w="467"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≥24000</w:t>
                  </w:r>
                </w:p>
              </w:tc>
              <w:tc>
                <w:tcPr>
                  <w:tcW w:w="469" w:type="pct"/>
                  <w:tcBorders>
                    <w:tl2br w:val="nil"/>
                    <w:tr2bl w:val="nil"/>
                  </w:tcBorders>
                  <w:shd w:val="clear" w:color="auto" w:fill="auto"/>
                  <w:noWrap/>
                  <w:vAlign w:val="center"/>
                </w:tcPr>
                <w:p>
                  <w:pPr>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≥24000</w:t>
                  </w:r>
                </w:p>
              </w:tc>
              <w:tc>
                <w:tcPr>
                  <w:tcW w:w="469" w:type="pct"/>
                  <w:tcBorders>
                    <w:tl2br w:val="nil"/>
                    <w:tr2bl w:val="nil"/>
                  </w:tcBorders>
                  <w:shd w:val="clear" w:color="auto" w:fill="auto"/>
                  <w:noWrap/>
                  <w:vAlign w:val="center"/>
                </w:tcPr>
                <w:p>
                  <w:pPr>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≥24000</w:t>
                  </w:r>
                </w:p>
              </w:tc>
              <w:tc>
                <w:tcPr>
                  <w:tcW w:w="470" w:type="pct"/>
                  <w:tcBorders>
                    <w:tl2br w:val="nil"/>
                    <w:tr2bl w:val="nil"/>
                  </w:tcBorders>
                  <w:shd w:val="clear" w:color="auto" w:fill="auto"/>
                  <w:noWrap/>
                  <w:vAlign w:val="center"/>
                </w:tcPr>
                <w:p>
                  <w:pPr>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≥24000</w:t>
                  </w:r>
                </w:p>
              </w:tc>
              <w:tc>
                <w:tcPr>
                  <w:tcW w:w="469" w:type="pct"/>
                  <w:tcBorders>
                    <w:tl2br w:val="nil"/>
                    <w:tr2bl w:val="nil"/>
                  </w:tcBorders>
                  <w:shd w:val="clear" w:color="auto" w:fill="auto"/>
                  <w:noWrap/>
                  <w:vAlign w:val="center"/>
                </w:tcPr>
                <w:p>
                  <w:pPr>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≥24000</w:t>
                  </w:r>
                </w:p>
              </w:tc>
              <w:tc>
                <w:tcPr>
                  <w:tcW w:w="469" w:type="pct"/>
                  <w:tcBorders>
                    <w:tl2br w:val="nil"/>
                    <w:tr2bl w:val="nil"/>
                  </w:tcBorders>
                  <w:shd w:val="clear" w:color="auto" w:fill="auto"/>
                  <w:noWrap/>
                  <w:vAlign w:val="center"/>
                </w:tcPr>
                <w:p>
                  <w:pPr>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≥24000</w:t>
                  </w:r>
                </w:p>
              </w:tc>
              <w:tc>
                <w:tcPr>
                  <w:tcW w:w="469" w:type="pct"/>
                  <w:tcBorders>
                    <w:tl2br w:val="nil"/>
                    <w:tr2bl w:val="nil"/>
                  </w:tcBorders>
                  <w:shd w:val="clear" w:color="auto" w:fill="auto"/>
                  <w:noWrap/>
                  <w:vAlign w:val="center"/>
                </w:tcPr>
                <w:p>
                  <w:pPr>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≥24000</w:t>
                  </w:r>
                </w:p>
              </w:tc>
              <w:tc>
                <w:tcPr>
                  <w:tcW w:w="474" w:type="pct"/>
                  <w:tcBorders>
                    <w:tl2br w:val="nil"/>
                    <w:tr2bl w:val="nil"/>
                  </w:tcBorders>
                  <w:shd w:val="clear" w:color="auto" w:fill="auto"/>
                  <w:noWrap/>
                  <w:vAlign w:val="center"/>
                </w:tcPr>
                <w:p>
                  <w:pPr>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≥24000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40" w:type="pct"/>
                  <w:tcBorders>
                    <w:tl2br w:val="nil"/>
                    <w:tr2bl w:val="nil"/>
                  </w:tcBorders>
                  <w:shd w:val="clear" w:color="auto" w:fill="auto"/>
                  <w:vAlign w:val="center"/>
                </w:tcPr>
                <w:p>
                  <w:pPr>
                    <w:widowControl/>
                    <w:jc w:val="center"/>
                    <w:textAlignment w:val="top"/>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总磷</w:t>
                  </w:r>
                </w:p>
              </w:tc>
              <w:tc>
                <w:tcPr>
                  <w:tcW w:w="467"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2.06</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2.25</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2.18</w:t>
                  </w:r>
                </w:p>
              </w:tc>
              <w:tc>
                <w:tcPr>
                  <w:tcW w:w="470"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2.14</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1.95</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1.94</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2.06</w:t>
                  </w:r>
                </w:p>
              </w:tc>
              <w:tc>
                <w:tcPr>
                  <w:tcW w:w="474"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1.84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40" w:type="pct"/>
                  <w:tcBorders>
                    <w:tl2br w:val="nil"/>
                    <w:tr2bl w:val="nil"/>
                  </w:tcBorders>
                  <w:shd w:val="clear" w:color="auto" w:fill="auto"/>
                  <w:vAlign w:val="center"/>
                </w:tcPr>
                <w:p>
                  <w:pPr>
                    <w:widowControl/>
                    <w:jc w:val="center"/>
                    <w:textAlignment w:val="top"/>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总氮</w:t>
                  </w:r>
                </w:p>
              </w:tc>
              <w:tc>
                <w:tcPr>
                  <w:tcW w:w="467"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28.6</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27.0</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26.0</w:t>
                  </w:r>
                </w:p>
              </w:tc>
              <w:tc>
                <w:tcPr>
                  <w:tcW w:w="470"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29.8</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29.7</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27.4</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29.3</w:t>
                  </w:r>
                </w:p>
              </w:tc>
              <w:tc>
                <w:tcPr>
                  <w:tcW w:w="474"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27.7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40" w:type="pct"/>
                  <w:tcBorders>
                    <w:tl2br w:val="nil"/>
                    <w:tr2bl w:val="nil"/>
                  </w:tcBorders>
                  <w:shd w:val="clear" w:color="auto" w:fill="auto"/>
                  <w:vAlign w:val="center"/>
                </w:tcPr>
                <w:p>
                  <w:pPr>
                    <w:widowControl/>
                    <w:jc w:val="center"/>
                    <w:textAlignment w:val="top"/>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阴离子表面活性剂</w:t>
                  </w:r>
                </w:p>
              </w:tc>
              <w:tc>
                <w:tcPr>
                  <w:tcW w:w="467"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1.05</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1.14</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1.06</w:t>
                  </w:r>
                </w:p>
              </w:tc>
              <w:tc>
                <w:tcPr>
                  <w:tcW w:w="470"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1.20</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1.11</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1.02</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1.15</w:t>
                  </w:r>
                </w:p>
              </w:tc>
              <w:tc>
                <w:tcPr>
                  <w:tcW w:w="474"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1.17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40" w:type="pct"/>
                  <w:tcBorders>
                    <w:tl2br w:val="nil"/>
                    <w:tr2bl w:val="nil"/>
                  </w:tcBorders>
                  <w:shd w:val="clear" w:color="auto" w:fill="auto"/>
                  <w:vAlign w:val="center"/>
                </w:tcPr>
                <w:p>
                  <w:pPr>
                    <w:widowControl/>
                    <w:jc w:val="center"/>
                    <w:textAlignment w:val="top"/>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总余氯</w:t>
                  </w:r>
                </w:p>
              </w:tc>
              <w:tc>
                <w:tcPr>
                  <w:tcW w:w="467"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1.62</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1.62</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0.54</w:t>
                  </w:r>
                </w:p>
              </w:tc>
              <w:tc>
                <w:tcPr>
                  <w:tcW w:w="470"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0.67</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0.72</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0.68</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0.66</w:t>
                  </w:r>
                </w:p>
              </w:tc>
              <w:tc>
                <w:tcPr>
                  <w:tcW w:w="474"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0.74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333" w:type="dxa"/>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eastAsia="zh-CN" w:bidi="ar"/>
                      <w14:textFill>
                        <w14:solidFill>
                          <w14:schemeClr w14:val="tx1"/>
                        </w14:solidFill>
                      </w14:textFill>
                    </w:rPr>
                    <w:t>项目</w:t>
                  </w:r>
                  <w:r>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t>/采样点位</w:t>
                  </w:r>
                </w:p>
              </w:tc>
              <w:tc>
                <w:tcPr>
                  <w:tcW w:w="7072" w:type="dxa"/>
                  <w:gridSpan w:val="8"/>
                  <w:tcBorders>
                    <w:tl2br w:val="nil"/>
                    <w:tr2bl w:val="nil"/>
                  </w:tcBorders>
                  <w:shd w:val="clear" w:color="auto" w:fill="auto"/>
                  <w:noWrap/>
                  <w:vAlign w:val="center"/>
                </w:tcPr>
                <w:p>
                  <w:pPr>
                    <w:widowControl/>
                    <w:jc w:val="center"/>
                    <w:textAlignment w:val="top"/>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eastAsia="zh-CN" w:bidi="ar"/>
                      <w14:textFill>
                        <w14:solidFill>
                          <w14:schemeClr w14:val="tx1"/>
                        </w14:solidFill>
                      </w14:textFill>
                    </w:rPr>
                    <w:t>废水</w:t>
                  </w:r>
                  <w:r>
                    <w:rPr>
                      <w:rFonts w:hint="eastAsia" w:ascii="Times New Roman" w:hAnsi="Times New Roman" w:cs="Times New Roman"/>
                      <w:color w:val="000000" w:themeColor="text1"/>
                      <w:kern w:val="0"/>
                      <w:sz w:val="18"/>
                      <w:szCs w:val="18"/>
                      <w:highlight w:val="none"/>
                      <w:lang w:eastAsia="zh-CN" w:bidi="ar"/>
                      <w14:textFill>
                        <w14:solidFill>
                          <w14:schemeClr w14:val="tx1"/>
                        </w14:solidFill>
                      </w14:textFill>
                    </w:rPr>
                    <w:t>排放</w:t>
                  </w:r>
                  <w:r>
                    <w:rPr>
                      <w:rFonts w:hint="default" w:ascii="Times New Roman" w:hAnsi="Times New Roman" w:eastAsia="宋体" w:cs="Times New Roman"/>
                      <w:color w:val="000000" w:themeColor="text1"/>
                      <w:kern w:val="0"/>
                      <w:sz w:val="18"/>
                      <w:szCs w:val="18"/>
                      <w:highlight w:val="none"/>
                      <w:lang w:eastAsia="zh-CN" w:bidi="ar"/>
                      <w14:textFill>
                        <w14:solidFill>
                          <w14:schemeClr w14:val="tx1"/>
                        </w14:solidFill>
                      </w14:textFill>
                    </w:rPr>
                    <w:t>口</w:t>
                  </w:r>
                  <w:r>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t>FS0</w:t>
                  </w:r>
                  <w:r>
                    <w:rPr>
                      <w:rFonts w:hint="eastAsia" w:ascii="Times New Roman" w:hAnsi="Times New Roman" w:cs="Times New Roman"/>
                      <w:color w:val="000000" w:themeColor="text1"/>
                      <w:kern w:val="0"/>
                      <w:sz w:val="18"/>
                      <w:szCs w:val="18"/>
                      <w:highlight w:val="none"/>
                      <w:lang w:val="en-US" w:eastAsia="zh-CN" w:bidi="ar"/>
                      <w14:textFill>
                        <w14:solidFill>
                          <w14:schemeClr w14:val="tx1"/>
                        </w14:solidFill>
                      </w14:textFill>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333" w:type="dxa"/>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采样时间</w:t>
                  </w:r>
                </w:p>
              </w:tc>
              <w:tc>
                <w:tcPr>
                  <w:tcW w:w="3531" w:type="dxa"/>
                  <w:gridSpan w:val="4"/>
                  <w:tcBorders>
                    <w:tl2br w:val="nil"/>
                    <w:tr2bl w:val="nil"/>
                  </w:tcBorders>
                  <w:shd w:val="clear" w:color="auto" w:fill="auto"/>
                  <w:noWrap/>
                  <w:vAlign w:val="center"/>
                </w:tcPr>
                <w:p>
                  <w:pPr>
                    <w:widowControl/>
                    <w:jc w:val="center"/>
                    <w:textAlignment w:val="top"/>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2024.05.08</w:t>
                  </w:r>
                </w:p>
              </w:tc>
              <w:tc>
                <w:tcPr>
                  <w:tcW w:w="3541" w:type="dxa"/>
                  <w:gridSpan w:val="4"/>
                  <w:tcBorders>
                    <w:tl2br w:val="nil"/>
                    <w:tr2bl w:val="nil"/>
                  </w:tcBorders>
                  <w:shd w:val="clear" w:color="auto" w:fill="auto"/>
                  <w:noWrap/>
                  <w:vAlign w:val="center"/>
                </w:tcPr>
                <w:p>
                  <w:pPr>
                    <w:widowControl/>
                    <w:jc w:val="center"/>
                    <w:textAlignment w:val="top"/>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t>2024.05.09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333" w:type="dxa"/>
                  <w:tcBorders>
                    <w:tl2br w:val="nil"/>
                    <w:tr2bl w:val="nil"/>
                  </w:tcBorders>
                  <w:shd w:val="clear" w:color="auto" w:fill="auto"/>
                  <w:vAlign w:val="center"/>
                </w:tcPr>
                <w:p>
                  <w:pPr>
                    <w:widowControl/>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t>检测项目</w:t>
                  </w:r>
                </w:p>
              </w:tc>
              <w:tc>
                <w:tcPr>
                  <w:tcW w:w="879" w:type="dxa"/>
                  <w:tcBorders>
                    <w:tl2br w:val="nil"/>
                    <w:tr2bl w:val="nil"/>
                  </w:tcBorders>
                  <w:shd w:val="clear" w:color="auto" w:fill="auto"/>
                  <w:noWrap/>
                  <w:vAlign w:val="center"/>
                </w:tcPr>
                <w:p>
                  <w:pPr>
                    <w:widowControl/>
                    <w:jc w:val="center"/>
                    <w:textAlignment w:val="top"/>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第一次</w:t>
                  </w:r>
                </w:p>
              </w:tc>
              <w:tc>
                <w:tcPr>
                  <w:tcW w:w="882" w:type="dxa"/>
                  <w:tcBorders>
                    <w:tl2br w:val="nil"/>
                    <w:tr2bl w:val="nil"/>
                  </w:tcBorders>
                  <w:shd w:val="clear" w:color="auto" w:fill="auto"/>
                  <w:noWrap/>
                  <w:vAlign w:val="center"/>
                </w:tcPr>
                <w:p>
                  <w:pPr>
                    <w:widowControl/>
                    <w:jc w:val="center"/>
                    <w:textAlignment w:val="top"/>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第二次</w:t>
                  </w:r>
                </w:p>
              </w:tc>
              <w:tc>
                <w:tcPr>
                  <w:tcW w:w="882" w:type="dxa"/>
                  <w:tcBorders>
                    <w:tl2br w:val="nil"/>
                    <w:tr2bl w:val="nil"/>
                  </w:tcBorders>
                  <w:shd w:val="clear" w:color="auto" w:fill="auto"/>
                  <w:noWrap/>
                  <w:vAlign w:val="center"/>
                </w:tcPr>
                <w:p>
                  <w:pPr>
                    <w:widowControl/>
                    <w:jc w:val="center"/>
                    <w:textAlignment w:val="top"/>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第三次</w:t>
                  </w:r>
                </w:p>
              </w:tc>
              <w:tc>
                <w:tcPr>
                  <w:tcW w:w="888" w:type="dxa"/>
                  <w:tcBorders>
                    <w:tl2br w:val="nil"/>
                    <w:tr2bl w:val="nil"/>
                  </w:tcBorders>
                  <w:shd w:val="clear" w:color="auto" w:fill="auto"/>
                  <w:noWrap/>
                  <w:vAlign w:val="center"/>
                </w:tcPr>
                <w:p>
                  <w:pPr>
                    <w:widowControl/>
                    <w:jc w:val="center"/>
                    <w:textAlignment w:val="top"/>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第四次</w:t>
                  </w:r>
                </w:p>
              </w:tc>
              <w:tc>
                <w:tcPr>
                  <w:tcW w:w="882" w:type="dxa"/>
                  <w:tcBorders>
                    <w:tl2br w:val="nil"/>
                    <w:tr2bl w:val="nil"/>
                  </w:tcBorders>
                  <w:shd w:val="clear" w:color="auto" w:fill="auto"/>
                  <w:noWrap/>
                  <w:vAlign w:val="center"/>
                </w:tcPr>
                <w:p>
                  <w:pPr>
                    <w:widowControl/>
                    <w:jc w:val="center"/>
                    <w:textAlignment w:val="top"/>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第一次</w:t>
                  </w:r>
                </w:p>
              </w:tc>
              <w:tc>
                <w:tcPr>
                  <w:tcW w:w="882" w:type="dxa"/>
                  <w:tcBorders>
                    <w:tl2br w:val="nil"/>
                    <w:tr2bl w:val="nil"/>
                  </w:tcBorders>
                  <w:shd w:val="clear" w:color="auto" w:fill="auto"/>
                  <w:noWrap/>
                  <w:vAlign w:val="center"/>
                </w:tcPr>
                <w:p>
                  <w:pPr>
                    <w:widowControl/>
                    <w:jc w:val="center"/>
                    <w:textAlignment w:val="top"/>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第二次</w:t>
                  </w:r>
                </w:p>
              </w:tc>
              <w:tc>
                <w:tcPr>
                  <w:tcW w:w="882" w:type="dxa"/>
                  <w:tcBorders>
                    <w:tl2br w:val="nil"/>
                    <w:tr2bl w:val="nil"/>
                  </w:tcBorders>
                  <w:shd w:val="clear" w:color="auto" w:fill="auto"/>
                  <w:noWrap/>
                  <w:vAlign w:val="center"/>
                </w:tcPr>
                <w:p>
                  <w:pPr>
                    <w:widowControl/>
                    <w:jc w:val="center"/>
                    <w:textAlignment w:val="top"/>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第三次</w:t>
                  </w:r>
                </w:p>
              </w:tc>
              <w:tc>
                <w:tcPr>
                  <w:tcW w:w="895" w:type="dxa"/>
                  <w:tcBorders>
                    <w:tl2br w:val="nil"/>
                    <w:tr2bl w:val="nil"/>
                  </w:tcBorders>
                  <w:shd w:val="clear" w:color="auto" w:fill="auto"/>
                  <w:noWrap/>
                  <w:vAlign w:val="center"/>
                </w:tcPr>
                <w:p>
                  <w:pPr>
                    <w:widowControl/>
                    <w:jc w:val="center"/>
                    <w:textAlignment w:val="top"/>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第四次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332" w:type="dxa"/>
                  <w:tcBorders>
                    <w:tl2br w:val="nil"/>
                    <w:tr2bl w:val="nil"/>
                  </w:tcBorders>
                  <w:shd w:val="clear" w:color="auto" w:fill="auto"/>
                  <w:vAlign w:val="center"/>
                </w:tcPr>
                <w:p>
                  <w:pPr>
                    <w:widowControl/>
                    <w:jc w:val="center"/>
                    <w:textAlignment w:val="top"/>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pH</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（无量纲）</w:t>
                  </w:r>
                </w:p>
              </w:tc>
              <w:tc>
                <w:tcPr>
                  <w:tcW w:w="467"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6.85</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6.72</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6.64</w:t>
                  </w:r>
                </w:p>
              </w:tc>
              <w:tc>
                <w:tcPr>
                  <w:tcW w:w="470"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6.83</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6.67</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6.91</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6.82</w:t>
                  </w:r>
                </w:p>
              </w:tc>
              <w:tc>
                <w:tcPr>
                  <w:tcW w:w="474"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6.73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332" w:type="dxa"/>
                  <w:tcBorders>
                    <w:tl2br w:val="nil"/>
                    <w:tr2bl w:val="nil"/>
                  </w:tcBorders>
                  <w:shd w:val="clear" w:color="auto" w:fill="auto"/>
                  <w:vAlign w:val="center"/>
                </w:tcPr>
                <w:p>
                  <w:pPr>
                    <w:widowControl/>
                    <w:jc w:val="center"/>
                    <w:textAlignment w:val="top"/>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化学需氧量</w:t>
                  </w:r>
                </w:p>
              </w:tc>
              <w:tc>
                <w:tcPr>
                  <w:tcW w:w="467"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38</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34</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39</w:t>
                  </w:r>
                </w:p>
              </w:tc>
              <w:tc>
                <w:tcPr>
                  <w:tcW w:w="470"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32</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36</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30</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35</w:t>
                  </w:r>
                </w:p>
              </w:tc>
              <w:tc>
                <w:tcPr>
                  <w:tcW w:w="474"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29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332" w:type="dxa"/>
                  <w:tcBorders>
                    <w:tl2br w:val="nil"/>
                    <w:tr2bl w:val="nil"/>
                  </w:tcBorders>
                  <w:shd w:val="clear" w:color="auto" w:fill="auto"/>
                  <w:vAlign w:val="center"/>
                </w:tcPr>
                <w:p>
                  <w:pPr>
                    <w:widowControl/>
                    <w:jc w:val="center"/>
                    <w:textAlignment w:val="top"/>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氨氮</w:t>
                  </w:r>
                </w:p>
              </w:tc>
              <w:tc>
                <w:tcPr>
                  <w:tcW w:w="467"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2.65</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2.43</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2.79</w:t>
                  </w:r>
                </w:p>
              </w:tc>
              <w:tc>
                <w:tcPr>
                  <w:tcW w:w="470"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2.56</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2.42</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2.57</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2.18</w:t>
                  </w:r>
                </w:p>
              </w:tc>
              <w:tc>
                <w:tcPr>
                  <w:tcW w:w="474"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2.33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332" w:type="dxa"/>
                  <w:tcBorders>
                    <w:tl2br w:val="nil"/>
                    <w:tr2bl w:val="nil"/>
                  </w:tcBorders>
                  <w:shd w:val="clear" w:color="auto" w:fill="auto"/>
                  <w:vAlign w:val="center"/>
                </w:tcPr>
                <w:p>
                  <w:pPr>
                    <w:widowControl/>
                    <w:jc w:val="center"/>
                    <w:textAlignment w:val="top"/>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五日生化需氧量</w:t>
                  </w:r>
                </w:p>
              </w:tc>
              <w:tc>
                <w:tcPr>
                  <w:tcW w:w="467"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8.7</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8.9</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9.1</w:t>
                  </w:r>
                </w:p>
              </w:tc>
              <w:tc>
                <w:tcPr>
                  <w:tcW w:w="470"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8.8</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9.2</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8.6</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8.7</w:t>
                  </w:r>
                </w:p>
              </w:tc>
              <w:tc>
                <w:tcPr>
                  <w:tcW w:w="474"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332" w:type="dxa"/>
                  <w:tcBorders>
                    <w:tl2br w:val="nil"/>
                    <w:tr2bl w:val="nil"/>
                  </w:tcBorders>
                  <w:shd w:val="clear" w:color="auto" w:fill="auto"/>
                  <w:vAlign w:val="center"/>
                </w:tcPr>
                <w:p>
                  <w:pPr>
                    <w:widowControl/>
                    <w:jc w:val="center"/>
                    <w:textAlignment w:val="top"/>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悬浮物</w:t>
                  </w:r>
                </w:p>
              </w:tc>
              <w:tc>
                <w:tcPr>
                  <w:tcW w:w="467"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7</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9</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10</w:t>
                  </w:r>
                </w:p>
              </w:tc>
              <w:tc>
                <w:tcPr>
                  <w:tcW w:w="470"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6</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8</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6</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9</w:t>
                  </w:r>
                </w:p>
              </w:tc>
              <w:tc>
                <w:tcPr>
                  <w:tcW w:w="474"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332" w:type="dxa"/>
                  <w:tcBorders>
                    <w:tl2br w:val="nil"/>
                    <w:tr2bl w:val="nil"/>
                  </w:tcBorders>
                  <w:shd w:val="clear" w:color="auto" w:fill="auto"/>
                  <w:vAlign w:val="center"/>
                </w:tcPr>
                <w:p>
                  <w:pPr>
                    <w:widowControl/>
                    <w:jc w:val="center"/>
                    <w:textAlignment w:val="top"/>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粪大肠菌群（</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MPN/L</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p>
              </w:tc>
              <w:tc>
                <w:tcPr>
                  <w:tcW w:w="467"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490</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430</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380</w:t>
                  </w:r>
                </w:p>
              </w:tc>
              <w:tc>
                <w:tcPr>
                  <w:tcW w:w="470"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450</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390</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440</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340</w:t>
                  </w:r>
                </w:p>
              </w:tc>
              <w:tc>
                <w:tcPr>
                  <w:tcW w:w="474"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470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332" w:type="dxa"/>
                  <w:tcBorders>
                    <w:tl2br w:val="nil"/>
                    <w:tr2bl w:val="nil"/>
                  </w:tcBorders>
                  <w:shd w:val="clear" w:color="auto" w:fill="auto"/>
                  <w:vAlign w:val="center"/>
                </w:tcPr>
                <w:p>
                  <w:pPr>
                    <w:widowControl/>
                    <w:jc w:val="center"/>
                    <w:textAlignment w:val="top"/>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总磷</w:t>
                  </w:r>
                </w:p>
              </w:tc>
              <w:tc>
                <w:tcPr>
                  <w:tcW w:w="467"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0.408</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0.395</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0.373</w:t>
                  </w:r>
                </w:p>
              </w:tc>
              <w:tc>
                <w:tcPr>
                  <w:tcW w:w="470"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0.385</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0.385</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0.408</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0.398</w:t>
                  </w:r>
                </w:p>
              </w:tc>
              <w:tc>
                <w:tcPr>
                  <w:tcW w:w="474"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0.370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332" w:type="dxa"/>
                  <w:tcBorders>
                    <w:tl2br w:val="nil"/>
                    <w:tr2bl w:val="nil"/>
                  </w:tcBorders>
                  <w:shd w:val="clear" w:color="auto" w:fill="auto"/>
                  <w:vAlign w:val="center"/>
                </w:tcPr>
                <w:p>
                  <w:pPr>
                    <w:widowControl/>
                    <w:jc w:val="center"/>
                    <w:textAlignment w:val="top"/>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总氮</w:t>
                  </w:r>
                </w:p>
              </w:tc>
              <w:tc>
                <w:tcPr>
                  <w:tcW w:w="467"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12.7</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10.4</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11.6</w:t>
                  </w:r>
                </w:p>
              </w:tc>
              <w:tc>
                <w:tcPr>
                  <w:tcW w:w="470"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11.1</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10.1</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11.3</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12.4</w:t>
                  </w:r>
                </w:p>
              </w:tc>
              <w:tc>
                <w:tcPr>
                  <w:tcW w:w="474"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11.7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332" w:type="dxa"/>
                  <w:tcBorders>
                    <w:tl2br w:val="nil"/>
                    <w:tr2bl w:val="nil"/>
                  </w:tcBorders>
                  <w:shd w:val="clear" w:color="auto" w:fill="auto"/>
                  <w:vAlign w:val="center"/>
                </w:tcPr>
                <w:p>
                  <w:pPr>
                    <w:widowControl/>
                    <w:jc w:val="center"/>
                    <w:textAlignment w:val="top"/>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阴离子表面活性剂</w:t>
                  </w:r>
                </w:p>
              </w:tc>
              <w:tc>
                <w:tcPr>
                  <w:tcW w:w="467"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0.125</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0.107</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0.135</w:t>
                  </w:r>
                </w:p>
              </w:tc>
              <w:tc>
                <w:tcPr>
                  <w:tcW w:w="470"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0.105</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0.121</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0.105</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0.144</w:t>
                  </w:r>
                </w:p>
              </w:tc>
              <w:tc>
                <w:tcPr>
                  <w:tcW w:w="474"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0.114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332" w:type="dxa"/>
                  <w:tcBorders>
                    <w:tl2br w:val="nil"/>
                    <w:tr2bl w:val="nil"/>
                  </w:tcBorders>
                  <w:shd w:val="clear" w:color="auto" w:fill="auto"/>
                  <w:vAlign w:val="center"/>
                </w:tcPr>
                <w:p>
                  <w:pPr>
                    <w:widowControl/>
                    <w:jc w:val="center"/>
                    <w:textAlignment w:val="top"/>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总余氯</w:t>
                  </w:r>
                </w:p>
              </w:tc>
              <w:tc>
                <w:tcPr>
                  <w:tcW w:w="467"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6.46</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6.93</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6.28</w:t>
                  </w:r>
                </w:p>
              </w:tc>
              <w:tc>
                <w:tcPr>
                  <w:tcW w:w="470"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6.79</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6.74</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6.18</w:t>
                  </w:r>
                </w:p>
              </w:tc>
              <w:tc>
                <w:tcPr>
                  <w:tcW w:w="469"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6.658</w:t>
                  </w:r>
                </w:p>
              </w:tc>
              <w:tc>
                <w:tcPr>
                  <w:tcW w:w="474" w:type="pct"/>
                  <w:tcBorders>
                    <w:tl2br w:val="nil"/>
                    <w:tr2bl w:val="nil"/>
                  </w:tcBorders>
                  <w:shd w:val="clear" w:color="auto" w:fill="auto"/>
                  <w:noWrap/>
                  <w:vAlign w:val="center"/>
                </w:tcPr>
                <w:p>
                  <w:pPr>
                    <w:pStyle w:val="69"/>
                    <w:jc w:val="center"/>
                    <w:rPr>
                      <w:rFonts w:hint="default" w:ascii="Times New Roman" w:hAnsi="Times New Roman" w:eastAsia="宋体"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18"/>
                      <w:szCs w:val="18"/>
                      <w:highlight w:val="none"/>
                      <w:lang w:val="en-US" w:eastAsia="zh-CN"/>
                      <w14:textFill>
                        <w14:solidFill>
                          <w14:schemeClr w14:val="tx1"/>
                        </w14:solidFill>
                      </w14:textFill>
                    </w:rPr>
                    <w:t>7.16</w:t>
                  </w:r>
                </w:p>
              </w:tc>
            </w:tr>
          </w:tbl>
          <w:p>
            <w:pPr>
              <w:widowControl/>
              <w:adjustRightInd/>
              <w:snapToGrid/>
              <w:spacing w:line="360" w:lineRule="auto"/>
              <w:ind w:firstLine="480" w:firstLineChars="200"/>
              <w:jc w:val="left"/>
              <w:rPr>
                <w:rFonts w:hint="eastAsia" w:eastAsia="宋体"/>
                <w:color w:val="000000" w:themeColor="text1"/>
                <w:sz w:val="24"/>
                <w:szCs w:val="24"/>
                <w:highlight w:val="none"/>
                <w:lang w:val="en-US" w:eastAsia="zh-CN"/>
                <w14:textFill>
                  <w14:solidFill>
                    <w14:schemeClr w14:val="tx1"/>
                  </w14:solidFill>
                </w14:textFill>
              </w:rPr>
            </w:pPr>
            <w:r>
              <w:rPr>
                <w:color w:val="000000" w:themeColor="text1"/>
                <w:sz w:val="24"/>
                <w:szCs w:val="24"/>
                <w:highlight w:val="none"/>
                <w14:textFill>
                  <w14:solidFill>
                    <w14:schemeClr w14:val="tx1"/>
                  </w14:solidFill>
                </w14:textFill>
              </w:rPr>
              <w:t>本次验收监测结果表明，项目废水</w:t>
            </w:r>
            <w:r>
              <w:rPr>
                <w:rFonts w:hint="eastAsia"/>
                <w:color w:val="000000" w:themeColor="text1"/>
                <w:sz w:val="24"/>
                <w:szCs w:val="24"/>
                <w:highlight w:val="none"/>
                <w:lang w:val="en-US" w:eastAsia="zh-CN"/>
                <w14:textFill>
                  <w14:solidFill>
                    <w14:schemeClr w14:val="tx1"/>
                  </w14:solidFill>
                </w14:textFill>
              </w:rPr>
              <w:t>pH、</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化学需氧量</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氨氮、</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五日生化需氧量</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悬浮物</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TN、</w:t>
            </w:r>
            <w:r>
              <w:rPr>
                <w:rFonts w:hint="eastAsia"/>
                <w:color w:val="000000" w:themeColor="text1"/>
                <w:sz w:val="24"/>
                <w:szCs w:val="24"/>
                <w:highlight w:val="none"/>
                <w14:textFill>
                  <w14:solidFill>
                    <w14:schemeClr w14:val="tx1"/>
                  </w14:solidFill>
                </w14:textFill>
              </w:rPr>
              <w:t>TP水质可以达到瑶湖污水处理厂接管标准和《医疗机构水污染物排放标准》（GB</w:t>
            </w:r>
            <w:r>
              <w:rPr>
                <w:rFonts w:hint="default" w:ascii="Times New Roman" w:hAnsi="Times New Roman" w:cs="Times New Roman"/>
                <w:color w:val="000000" w:themeColor="text1"/>
                <w:sz w:val="24"/>
                <w:szCs w:val="24"/>
                <w:highlight w:val="none"/>
                <w14:textFill>
                  <w14:solidFill>
                    <w14:schemeClr w14:val="tx1"/>
                  </w14:solidFill>
                </w14:textFill>
              </w:rPr>
              <w:t>18466-2005）表2中预处理标准从严值</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粪大肠菌群（</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MPN/L</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阴离子表面活性剂</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总余氯</w:t>
            </w:r>
            <w:r>
              <w:rPr>
                <w:rFonts w:hint="default" w:ascii="Times New Roman" w:hAnsi="Times New Roman" w:cs="Times New Roman"/>
                <w:color w:val="000000" w:themeColor="text1"/>
                <w:sz w:val="24"/>
                <w:szCs w:val="24"/>
                <w:highlight w:val="none"/>
                <w14:textFill>
                  <w14:solidFill>
                    <w14:schemeClr w14:val="tx1"/>
                  </w14:solidFill>
                </w14:textFill>
              </w:rPr>
              <w:t>可以达到</w:t>
            </w:r>
            <w:r>
              <w:rPr>
                <w:rFonts w:hint="default" w:ascii="Times New Roman" w:hAnsi="Times New Roman" w:cs="Times New Roman"/>
                <w:color w:val="000000" w:themeColor="text1"/>
                <w:sz w:val="24"/>
                <w:szCs w:val="24"/>
                <w:highlight w:val="none"/>
                <w:lang w:val="zh-CN"/>
                <w14:textFill>
                  <w14:solidFill>
                    <w14:schemeClr w14:val="tx1"/>
                  </w14:solidFill>
                </w14:textFill>
              </w:rPr>
              <w:t>《医疗机构水污染物排放标准》（GB18466-2005）</w:t>
            </w:r>
            <w:r>
              <w:rPr>
                <w:rFonts w:hint="default" w:ascii="Times New Roman" w:hAnsi="Times New Roman" w:cs="Times New Roman"/>
                <w:color w:val="000000" w:themeColor="text1"/>
                <w:sz w:val="24"/>
                <w:szCs w:val="24"/>
                <w:highlight w:val="none"/>
                <w14:textFill>
                  <w14:solidFill>
                    <w14:schemeClr w14:val="tx1"/>
                  </w14:solidFill>
                </w14:textFill>
              </w:rPr>
              <w:t>表2中排放标准。</w:t>
            </w:r>
          </w:p>
          <w:p>
            <w:pPr>
              <w:pStyle w:val="69"/>
              <w:spacing w:line="360" w:lineRule="auto"/>
              <w:jc w:val="both"/>
              <w:rPr>
                <w:rFonts w:ascii="Times New Roman" w:hAnsi="Times New Roman" w:cs="Times New Roman"/>
                <w:b/>
                <w:bCs/>
                <w:color w:val="000000" w:themeColor="text1"/>
                <w:sz w:val="24"/>
                <w:szCs w:val="24"/>
                <w:highlight w:val="none"/>
                <w:lang w:eastAsia="zh-CN"/>
                <w14:textFill>
                  <w14:solidFill>
                    <w14:schemeClr w14:val="tx1"/>
                  </w14:solidFill>
                </w14:textFill>
              </w:rPr>
            </w:pPr>
            <w:r>
              <w:rPr>
                <w:rFonts w:ascii="Times New Roman" w:hAnsi="Times New Roman" w:cs="Times New Roman"/>
                <w:b/>
                <w:color w:val="000000" w:themeColor="text1"/>
                <w:kern w:val="2"/>
                <w:sz w:val="24"/>
                <w:szCs w:val="24"/>
                <w:highlight w:val="none"/>
                <w:lang w:eastAsia="zh-CN"/>
                <w14:textFill>
                  <w14:solidFill>
                    <w14:schemeClr w14:val="tx1"/>
                  </w14:solidFill>
                </w14:textFill>
              </w:rPr>
              <w:t>7.2.6固</w:t>
            </w:r>
            <w:r>
              <w:rPr>
                <w:rFonts w:ascii="Times New Roman" w:hAnsi="Times New Roman" w:cs="Times New Roman"/>
                <w:b/>
                <w:bCs/>
                <w:color w:val="000000" w:themeColor="text1"/>
                <w:sz w:val="24"/>
                <w:szCs w:val="24"/>
                <w:highlight w:val="none"/>
                <w:lang w:eastAsia="zh-CN"/>
                <w14:textFill>
                  <w14:solidFill>
                    <w14:schemeClr w14:val="tx1"/>
                  </w14:solidFill>
                </w14:textFill>
              </w:rPr>
              <w:t>废产生量及处理处置情况</w:t>
            </w:r>
          </w:p>
          <w:p>
            <w:pPr>
              <w:numPr>
                <w:ilvl w:val="0"/>
                <w:numId w:val="2"/>
              </w:numPr>
              <w:adjustRightInd w:val="0"/>
              <w:snapToGrid w:val="0"/>
              <w:spacing w:line="360" w:lineRule="auto"/>
              <w:ind w:firstLine="480" w:firstLineChars="200"/>
              <w:rPr>
                <w:rFonts w:hint="eastAsia"/>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项目产生的实验废弃物、污水处理污泥交由九江浦江环保工程有限公司处理；</w:t>
            </w:r>
          </w:p>
          <w:p>
            <w:pPr>
              <w:numPr>
                <w:ilvl w:val="0"/>
                <w:numId w:val="2"/>
              </w:numPr>
              <w:adjustRightInd w:val="0"/>
              <w:snapToGrid w:val="0"/>
              <w:spacing w:line="360" w:lineRule="auto"/>
              <w:ind w:firstLine="480" w:firstLineChars="200"/>
              <w:rPr>
                <w:rFonts w:hint="eastAsia"/>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动物尸体、潜在危害饲养废弃物、病死动物尸体、药理学动物尸体等医疗废物委托南昌市医疗废物处置中心有限公司处理；</w:t>
            </w:r>
          </w:p>
          <w:p>
            <w:pPr>
              <w:numPr>
                <w:ilvl w:val="0"/>
                <w:numId w:val="2"/>
              </w:numPr>
              <w:adjustRightInd w:val="0"/>
              <w:snapToGrid w:val="0"/>
              <w:spacing w:line="360" w:lineRule="auto"/>
              <w:ind w:firstLine="480" w:firstLineChars="200"/>
              <w:rPr>
                <w:rFonts w:hint="eastAsia"/>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正常饲养废弃物委托专门处置动物粪便单位处置；</w:t>
            </w:r>
          </w:p>
          <w:p>
            <w:pPr>
              <w:numPr>
                <w:ilvl w:val="0"/>
                <w:numId w:val="2"/>
              </w:num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废防渗膜、中药渣均外售综合利用；</w:t>
            </w:r>
          </w:p>
          <w:p>
            <w:pPr>
              <w:numPr>
                <w:ilvl w:val="0"/>
                <w:numId w:val="2"/>
              </w:num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生活垃圾交由环卫部门清运。</w:t>
            </w:r>
          </w:p>
          <w:p>
            <w:pPr>
              <w:spacing w:line="360" w:lineRule="auto"/>
              <w:jc w:val="left"/>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7.2.7总量控制</w:t>
            </w:r>
          </w:p>
          <w:p>
            <w:pPr>
              <w:spacing w:line="360" w:lineRule="auto"/>
              <w:ind w:firstLine="480" w:firstLineChars="200"/>
              <w:jc w:val="left"/>
              <w:rPr>
                <w:rFonts w:hint="eastAsia" w:hAnsi="宋体"/>
                <w:color w:val="000000" w:themeColor="text1"/>
                <w:sz w:val="24"/>
                <w:lang w:val="en-US" w:eastAsia="zh-CN"/>
                <w14:textFill>
                  <w14:solidFill>
                    <w14:schemeClr w14:val="tx1"/>
                  </w14:solidFill>
                </w14:textFill>
              </w:rPr>
            </w:pPr>
            <w:r>
              <w:rPr>
                <w:rFonts w:hint="eastAsia" w:hAnsi="宋体"/>
                <w:color w:val="000000" w:themeColor="text1"/>
                <w:sz w:val="24"/>
                <w:lang w:eastAsia="zh-CN"/>
                <w14:textFill>
                  <w14:solidFill>
                    <w14:schemeClr w14:val="tx1"/>
                  </w14:solidFill>
                </w14:textFill>
              </w:rPr>
              <w:t>本项目环评批复总量控制指标分别为，CODcr：0.08t/a，NH</w:t>
            </w:r>
            <w:r>
              <w:rPr>
                <w:rFonts w:hint="eastAsia" w:hAnsi="宋体"/>
                <w:color w:val="000000" w:themeColor="text1"/>
                <w:sz w:val="24"/>
                <w:vertAlign w:val="subscript"/>
                <w:lang w:eastAsia="zh-CN"/>
                <w14:textFill>
                  <w14:solidFill>
                    <w14:schemeClr w14:val="tx1"/>
                  </w14:solidFill>
                </w14:textFill>
              </w:rPr>
              <w:t>3</w:t>
            </w:r>
            <w:r>
              <w:rPr>
                <w:rFonts w:hint="eastAsia" w:hAnsi="宋体"/>
                <w:color w:val="000000" w:themeColor="text1"/>
                <w:sz w:val="24"/>
                <w:lang w:eastAsia="zh-CN"/>
                <w14:textFill>
                  <w14:solidFill>
                    <w14:schemeClr w14:val="tx1"/>
                  </w14:solidFill>
                </w14:textFill>
              </w:rPr>
              <w:t>-N：0.01t/a，VOCs：0.613t/a。</w:t>
            </w:r>
            <w:r>
              <w:rPr>
                <w:rFonts w:hint="eastAsia" w:hAnsi="宋体"/>
                <w:color w:val="000000" w:themeColor="text1"/>
                <w:sz w:val="24"/>
                <w:lang w:val="en-US" w:eastAsia="zh-CN"/>
                <w14:textFill>
                  <w14:solidFill>
                    <w14:schemeClr w14:val="tx1"/>
                  </w14:solidFill>
                </w14:textFill>
              </w:rPr>
              <w:t xml:space="preserve">      </w:t>
            </w:r>
          </w:p>
          <w:p>
            <w:pPr>
              <w:spacing w:line="360" w:lineRule="auto"/>
              <w:ind w:firstLine="480" w:firstLineChars="200"/>
              <w:jc w:val="left"/>
              <w:rPr>
                <w:color w:val="000000" w:themeColor="text1"/>
                <w:sz w:val="24"/>
                <w:szCs w:val="24"/>
                <w:highlight w:val="none"/>
                <w14:textFill>
                  <w14:solidFill>
                    <w14:schemeClr w14:val="tx1"/>
                  </w14:solidFill>
                </w14:textFill>
              </w:rPr>
            </w:pPr>
            <w:r>
              <w:rPr>
                <w:rFonts w:hint="eastAsia" w:hAnsi="宋体"/>
                <w:color w:val="000000" w:themeColor="text1"/>
                <w:sz w:val="24"/>
                <w:lang w:eastAsia="zh-CN"/>
                <w14:textFill>
                  <w14:solidFill>
                    <w14:schemeClr w14:val="tx1"/>
                  </w14:solidFill>
                </w14:textFill>
              </w:rPr>
              <w:t>严格执行生态环境主管部门下达的总量控制要求。根据监测结果计算，</w:t>
            </w:r>
            <w:r>
              <w:rPr>
                <w:color w:val="000000" w:themeColor="text1"/>
                <w:sz w:val="24"/>
                <w:highlight w:val="none"/>
                <w14:textFill>
                  <w14:solidFill>
                    <w14:schemeClr w14:val="tx1"/>
                  </w14:solidFill>
                </w14:textFill>
              </w:rPr>
              <w:t>CODcr</w:t>
            </w:r>
            <w:r>
              <w:rPr>
                <w:rFonts w:hint="eastAsia"/>
                <w:color w:val="000000" w:themeColor="text1"/>
                <w:sz w:val="24"/>
                <w:highlight w:val="none"/>
                <w:lang w:eastAsia="zh-CN"/>
                <w14:textFill>
                  <w14:solidFill>
                    <w14:schemeClr w14:val="tx1"/>
                  </w14:solidFill>
                </w14:textFill>
              </w:rPr>
              <w:t>总量为</w:t>
            </w:r>
            <w:r>
              <w:rPr>
                <w:rFonts w:hint="eastAsia"/>
                <w:color w:val="000000" w:themeColor="text1"/>
                <w:sz w:val="24"/>
                <w:highlight w:val="none"/>
                <w:lang w:val="en-US" w:eastAsia="zh-CN"/>
                <w14:textFill>
                  <w14:solidFill>
                    <w14:schemeClr w14:val="tx1"/>
                  </w14:solidFill>
                </w14:textFill>
              </w:rPr>
              <w:t>0.053t/a，</w:t>
            </w:r>
            <w:r>
              <w:rPr>
                <w:color w:val="000000" w:themeColor="text1"/>
                <w:sz w:val="24"/>
                <w:highlight w:val="none"/>
                <w14:textFill>
                  <w14:solidFill>
                    <w14:schemeClr w14:val="tx1"/>
                  </w14:solidFill>
                </w14:textFill>
              </w:rPr>
              <w:t>NH</w:t>
            </w:r>
            <w:r>
              <w:rPr>
                <w:color w:val="000000" w:themeColor="text1"/>
                <w:sz w:val="24"/>
                <w:highlight w:val="none"/>
                <w:vertAlign w:val="subscript"/>
                <w14:textFill>
                  <w14:solidFill>
                    <w14:schemeClr w14:val="tx1"/>
                  </w14:solidFill>
                </w14:textFill>
              </w:rPr>
              <w:t>3</w:t>
            </w:r>
            <w:r>
              <w:rPr>
                <w:color w:val="000000" w:themeColor="text1"/>
                <w:sz w:val="24"/>
                <w:highlight w:val="none"/>
                <w14:textFill>
                  <w14:solidFill>
                    <w14:schemeClr w14:val="tx1"/>
                  </w14:solidFill>
                </w14:textFill>
              </w:rPr>
              <w:t>-N</w:t>
            </w:r>
            <w:r>
              <w:rPr>
                <w:rFonts w:hint="eastAsia"/>
                <w:color w:val="000000" w:themeColor="text1"/>
                <w:sz w:val="24"/>
                <w:highlight w:val="none"/>
                <w:lang w:eastAsia="zh-CN"/>
                <w14:textFill>
                  <w14:solidFill>
                    <w14:schemeClr w14:val="tx1"/>
                  </w14:solidFill>
                </w14:textFill>
              </w:rPr>
              <w:t>总量为</w:t>
            </w:r>
            <w:r>
              <w:rPr>
                <w:rFonts w:hint="eastAsia"/>
                <w:color w:val="000000" w:themeColor="text1"/>
                <w:sz w:val="24"/>
                <w:highlight w:val="none"/>
                <w:lang w:val="en-US" w:eastAsia="zh-CN"/>
                <w14:textFill>
                  <w14:solidFill>
                    <w14:schemeClr w14:val="tx1"/>
                  </w14:solidFill>
                </w14:textFill>
              </w:rPr>
              <w:t>0.004t/a，</w:t>
            </w:r>
            <w:r>
              <w:rPr>
                <w:rFonts w:hint="eastAsia" w:hAnsi="宋体"/>
                <w:color w:val="000000" w:themeColor="text1"/>
                <w:sz w:val="24"/>
                <w14:textFill>
                  <w14:solidFill>
                    <w14:schemeClr w14:val="tx1"/>
                  </w14:solidFill>
                </w14:textFill>
              </w:rPr>
              <w:t>VOC</w:t>
            </w:r>
            <w:r>
              <w:rPr>
                <w:rFonts w:hint="eastAsia" w:hAnsi="宋体"/>
                <w:color w:val="000000" w:themeColor="text1"/>
                <w:sz w:val="24"/>
                <w:vertAlign w:val="subscript"/>
                <w:lang w:val="en-US" w:eastAsia="zh-CN"/>
                <w14:textFill>
                  <w14:solidFill>
                    <w14:schemeClr w14:val="tx1"/>
                  </w14:solidFill>
                </w14:textFill>
              </w:rPr>
              <w:t>s</w:t>
            </w:r>
            <w:r>
              <w:rPr>
                <w:rFonts w:hint="eastAsia" w:hAnsi="宋体"/>
                <w:color w:val="000000" w:themeColor="text1"/>
                <w:sz w:val="24"/>
                <w:lang w:eastAsia="zh-CN"/>
                <w14:textFill>
                  <w14:solidFill>
                    <w14:schemeClr w14:val="tx1"/>
                  </w14:solidFill>
                </w14:textFill>
              </w:rPr>
              <w:t>总量</w:t>
            </w:r>
            <w:r>
              <w:rPr>
                <w:rFonts w:hint="eastAsia" w:hAnsi="宋体"/>
                <w:color w:val="000000" w:themeColor="text1"/>
                <w:sz w:val="24"/>
                <w14:textFill>
                  <w14:solidFill>
                    <w14:schemeClr w14:val="tx1"/>
                  </w14:solidFill>
                </w14:textFill>
              </w:rPr>
              <w:t>为</w:t>
            </w:r>
            <w:r>
              <w:rPr>
                <w:rFonts w:hint="eastAsia" w:hAnsi="宋体"/>
                <w:color w:val="000000" w:themeColor="text1"/>
                <w:sz w:val="24"/>
                <w:lang w:val="en-US" w:eastAsia="zh-CN"/>
                <w14:textFill>
                  <w14:solidFill>
                    <w14:schemeClr w14:val="tx1"/>
                  </w14:solidFill>
                </w14:textFill>
              </w:rPr>
              <w:t>0.115</w:t>
            </w:r>
            <w:r>
              <w:rPr>
                <w:rFonts w:hint="eastAsia" w:hAnsi="宋体"/>
                <w:color w:val="000000" w:themeColor="text1"/>
                <w:sz w:val="24"/>
                <w14:textFill>
                  <w14:solidFill>
                    <w14:schemeClr w14:val="tx1"/>
                  </w14:solidFill>
                </w14:textFill>
              </w:rPr>
              <w:t>/a。</w:t>
            </w:r>
          </w:p>
        </w:tc>
      </w:tr>
      <w:bookmarkEnd w:id="8"/>
    </w:tbl>
    <w:p>
      <w:pPr>
        <w:pStyle w:val="3"/>
        <w:rPr>
          <w:b w:val="0"/>
          <w:bCs/>
          <w:color w:val="000000" w:themeColor="text1"/>
          <w:szCs w:val="24"/>
          <w14:textFill>
            <w14:solidFill>
              <w14:schemeClr w14:val="tx1"/>
            </w14:solidFill>
          </w14:textFill>
        </w:rPr>
      </w:pPr>
      <w:bookmarkStart w:id="9" w:name="_Toc523906062"/>
      <w:r>
        <w:rPr>
          <w:color w:val="000000" w:themeColor="text1"/>
          <w14:textFill>
            <w14:solidFill>
              <w14:schemeClr w14:val="tx1"/>
            </w14:solidFill>
          </w14:textFill>
        </w:rPr>
        <w:t>表</w:t>
      </w:r>
      <w:r>
        <w:rPr>
          <w:rFonts w:hint="eastAsia"/>
          <w:color w:val="000000" w:themeColor="text1"/>
          <w14:textFill>
            <w14:solidFill>
              <w14:schemeClr w14:val="tx1"/>
            </w14:solidFill>
          </w14:textFill>
        </w:rPr>
        <w:t>八</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环评及批复落实情况</w:t>
      </w:r>
      <w:bookmarkEnd w:id="9"/>
    </w:p>
    <w:tbl>
      <w:tblPr>
        <w:tblStyle w:val="29"/>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9" w:hRule="atLeast"/>
        </w:trPr>
        <w:tc>
          <w:tcPr>
            <w:tcW w:w="9287" w:type="dxa"/>
            <w:shd w:val="clear" w:color="auto" w:fill="auto"/>
          </w:tcPr>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该公司切实按照环评建议及环评批复要求，落实各项环保措施。环评批复落实情况见表8-1。</w:t>
            </w:r>
          </w:p>
          <w:p>
            <w:pPr>
              <w:pStyle w:val="88"/>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表</w:t>
            </w:r>
            <w:r>
              <w:rPr>
                <w:rFonts w:hint="eastAsia"/>
                <w:b/>
                <w:color w:val="000000" w:themeColor="text1"/>
                <w:sz w:val="21"/>
                <w:szCs w:val="21"/>
                <w14:textFill>
                  <w14:solidFill>
                    <w14:schemeClr w14:val="tx1"/>
                  </w14:solidFill>
                </w14:textFill>
              </w:rPr>
              <w:t>8</w:t>
            </w:r>
            <w:r>
              <w:rPr>
                <w:b/>
                <w:color w:val="000000" w:themeColor="text1"/>
                <w:sz w:val="21"/>
                <w:szCs w:val="21"/>
                <w14:textFill>
                  <w14:solidFill>
                    <w14:schemeClr w14:val="tx1"/>
                  </w14:solidFill>
                </w14:textFill>
              </w:rPr>
              <w:t>-</w:t>
            </w:r>
            <w:r>
              <w:rPr>
                <w:rFonts w:hint="eastAsia"/>
                <w:b/>
                <w:color w:val="000000" w:themeColor="text1"/>
                <w:sz w:val="21"/>
                <w:szCs w:val="21"/>
                <w14:textFill>
                  <w14:solidFill>
                    <w14:schemeClr w14:val="tx1"/>
                  </w14:solidFill>
                </w14:textFill>
              </w:rPr>
              <w:t>1</w:t>
            </w:r>
            <w:r>
              <w:rPr>
                <w:b/>
                <w:color w:val="000000" w:themeColor="text1"/>
                <w:sz w:val="21"/>
                <w:szCs w:val="21"/>
                <w14:textFill>
                  <w14:solidFill>
                    <w14:schemeClr w14:val="tx1"/>
                  </w14:solidFill>
                </w14:textFill>
              </w:rPr>
              <w:t xml:space="preserve"> 项目环评及环评批复落实情况一览表</w:t>
            </w:r>
          </w:p>
          <w:tbl>
            <w:tblPr>
              <w:tblStyle w:val="3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7"/>
              <w:gridCol w:w="3669"/>
              <w:gridCol w:w="3734"/>
              <w:gridCol w:w="8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tblHeader/>
                <w:jc w:val="center"/>
              </w:trPr>
              <w:tc>
                <w:tcPr>
                  <w:tcW w:w="434" w:type="pct"/>
                  <w:tcBorders>
                    <w:tl2br w:val="nil"/>
                    <w:tr2bl w:val="nil"/>
                  </w:tcBorders>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序号</w:t>
                  </w:r>
                </w:p>
              </w:tc>
              <w:tc>
                <w:tcPr>
                  <w:tcW w:w="2023" w:type="pct"/>
                  <w:tcBorders>
                    <w:tl2br w:val="nil"/>
                    <w:tr2bl w:val="nil"/>
                  </w:tcBorders>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环评及环评批复要求</w:t>
                  </w:r>
                </w:p>
              </w:tc>
              <w:tc>
                <w:tcPr>
                  <w:tcW w:w="2059" w:type="pct"/>
                  <w:tcBorders>
                    <w:tl2br w:val="nil"/>
                    <w:tr2bl w:val="nil"/>
                  </w:tcBorders>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落实情况</w:t>
                  </w:r>
                </w:p>
              </w:tc>
              <w:tc>
                <w:tcPr>
                  <w:tcW w:w="483" w:type="pct"/>
                  <w:tcBorders>
                    <w:tl2br w:val="nil"/>
                    <w:tr2bl w:val="nil"/>
                  </w:tcBorders>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是否</w:t>
                  </w:r>
                </w:p>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4" w:type="pct"/>
                  <w:tcBorders>
                    <w:tl2br w:val="nil"/>
                    <w:tr2bl w:val="nil"/>
                  </w:tcBorders>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清洁生产要求</w:t>
                  </w:r>
                </w:p>
              </w:tc>
              <w:tc>
                <w:tcPr>
                  <w:tcW w:w="2023" w:type="pc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宋体" w:eastAsia="宋体" w:cs="Times New Roman"/>
                      <w:bCs/>
                      <w:color w:val="000000" w:themeColor="text1"/>
                      <w:kern w:val="2"/>
                      <w:sz w:val="21"/>
                      <w:szCs w:val="21"/>
                      <w:lang w:val="en-US" w:eastAsia="zh-CN" w:bidi="ar-SA"/>
                      <w14:textFill>
                        <w14:solidFill>
                          <w14:schemeClr w14:val="tx1"/>
                        </w14:solidFill>
                      </w14:textFill>
                    </w:rPr>
                    <w:t>项目必须采用先进的生产工艺、技术和设备，提高自动化控制水平，积极推行清洁生产，提高项目清洁生产水平。</w:t>
                  </w:r>
                </w:p>
              </w:tc>
              <w:tc>
                <w:tcPr>
                  <w:tcW w:w="2059" w:type="pct"/>
                  <w:tcBorders>
                    <w:tl2br w:val="nil"/>
                    <w:tr2bl w:val="nil"/>
                  </w:tcBorders>
                  <w:vAlign w:val="center"/>
                </w:tcPr>
                <w:p>
                  <w:pP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本项目已采用先进的生产工艺、技术和设备，提高自动化控制水平</w:t>
                  </w:r>
                </w:p>
              </w:tc>
              <w:tc>
                <w:tcPr>
                  <w:tcW w:w="483" w:type="pct"/>
                  <w:tcBorders>
                    <w:tl2br w:val="nil"/>
                    <w:tr2bl w:val="nil"/>
                  </w:tcBorders>
                  <w:vAlign w:val="center"/>
                </w:tcPr>
                <w:p>
                  <w:pPr>
                    <w:jc w:val="center"/>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7" w:hRule="atLeast"/>
                <w:jc w:val="center"/>
              </w:trPr>
              <w:tc>
                <w:tcPr>
                  <w:tcW w:w="434" w:type="pct"/>
                  <w:tcBorders>
                    <w:tl2br w:val="nil"/>
                    <w:tr2bl w:val="nil"/>
                  </w:tcBorders>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环境风险防范要求</w:t>
                  </w:r>
                </w:p>
              </w:tc>
              <w:tc>
                <w:tcPr>
                  <w:tcW w:w="2023" w:type="pct"/>
                  <w:tcBorders>
                    <w:tl2br w:val="nil"/>
                    <w:tr2bl w:val="nil"/>
                  </w:tcBorders>
                  <w:vAlign w:val="center"/>
                </w:tcPr>
                <w:p>
                  <w:pPr>
                    <w:ind w:firstLine="420" w:firstLineChars="200"/>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项目涉及安全、消防等方面事项应报请安全、消防等行政部门审批，并按照安全、消防等行政管理部门的要求进行设计、建设。</w:t>
                  </w:r>
                </w:p>
              </w:tc>
              <w:tc>
                <w:tcPr>
                  <w:tcW w:w="2059" w:type="pct"/>
                  <w:tcBorders>
                    <w:tl2br w:val="nil"/>
                    <w:tr2bl w:val="nil"/>
                  </w:tcBorders>
                  <w:vAlign w:val="center"/>
                </w:tcPr>
                <w:p>
                  <w:pP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项目已报安全、消防等行政部门审批，</w:t>
                  </w:r>
                  <w:r>
                    <w:rPr>
                      <w:rFonts w:hint="eastAsia"/>
                      <w:color w:val="000000" w:themeColor="text1"/>
                      <w:sz w:val="21"/>
                      <w:szCs w:val="21"/>
                      <w:lang w:eastAsia="zh-CN"/>
                      <w14:textFill>
                        <w14:solidFill>
                          <w14:schemeClr w14:val="tx1"/>
                        </w14:solidFill>
                      </w14:textFill>
                    </w:rPr>
                    <w:t>并按照安全、消防等行政管理部门的要求进行设计、建设。</w:t>
                  </w:r>
                </w:p>
              </w:tc>
              <w:tc>
                <w:tcPr>
                  <w:tcW w:w="483" w:type="pct"/>
                  <w:tcBorders>
                    <w:tl2br w:val="nil"/>
                    <w:tr2bl w:val="nil"/>
                  </w:tcBorders>
                  <w:vAlign w:val="center"/>
                </w:tcPr>
                <w:p>
                  <w:pPr>
                    <w:jc w:val="center"/>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4" w:hRule="atLeast"/>
                <w:jc w:val="center"/>
              </w:trPr>
              <w:tc>
                <w:tcPr>
                  <w:tcW w:w="434" w:type="pct"/>
                  <w:tcBorders>
                    <w:tl2br w:val="nil"/>
                    <w:tr2bl w:val="nil"/>
                  </w:tcBorders>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废气</w:t>
                  </w:r>
                </w:p>
              </w:tc>
              <w:tc>
                <w:tcPr>
                  <w:tcW w:w="2023" w:type="pc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项目运营期</w:t>
                  </w:r>
                  <w:r>
                    <w:rPr>
                      <w:rFonts w:hint="default" w:ascii="Times New Roman" w:hAnsi="Times New Roman" w:eastAsia="宋体" w:cs="Times New Roman"/>
                      <w:color w:val="000000" w:themeColor="text1"/>
                      <w:sz w:val="21"/>
                      <w:szCs w:val="21"/>
                      <w:lang w:eastAsia="zh-CN"/>
                      <w14:textFill>
                        <w14:solidFill>
                          <w14:schemeClr w14:val="tx1"/>
                        </w14:solidFill>
                      </w14:textFill>
                    </w:rPr>
                    <w:t>主要为试验过程产生的药物前处理和醇提废气、动物饲养废气等。动物饲养废气经负压收集后，经</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1根63m高排气筒排放；项目前处理</w:t>
                  </w:r>
                  <w:r>
                    <w:rPr>
                      <w:rFonts w:hint="default" w:ascii="Times New Roman" w:hAnsi="Times New Roman" w:eastAsia="宋体" w:cs="Times New Roman"/>
                      <w:color w:val="000000" w:themeColor="text1"/>
                      <w:sz w:val="21"/>
                      <w:szCs w:val="21"/>
                      <w:lang w:eastAsia="zh-CN"/>
                      <w14:textFill>
                        <w14:solidFill>
                          <w14:schemeClr w14:val="tx1"/>
                        </w14:solidFill>
                      </w14:textFill>
                    </w:rPr>
                    <w:t>和醇提废气经通风橱收集后，经</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1根63m高排气筒排放。工序未收集的无组织废气，应加强厂区通风，降低无组织废气排放对厂区内部及周边环境的不利影响。</w:t>
                  </w:r>
                </w:p>
                <w:p>
                  <w:pPr>
                    <w:ind w:firstLine="420" w:firstLineChars="200"/>
                    <w:rPr>
                      <w:rFonts w:hint="default" w:ascii="Times New Roman" w:hAnsi="Times New Roman" w:eastAsia="宋体" w:cs="Times New Roman"/>
                      <w:bCs/>
                      <w:color w:val="000000" w:themeColor="text1"/>
                      <w:sz w:val="21"/>
                      <w:szCs w:val="21"/>
                      <w14:textFill>
                        <w14:solidFill>
                          <w14:schemeClr w14:val="tx1"/>
                        </w14:solidFill>
                      </w14:textFill>
                    </w:rPr>
                  </w:pPr>
                </w:p>
              </w:tc>
              <w:tc>
                <w:tcPr>
                  <w:tcW w:w="2059" w:type="pct"/>
                  <w:tcBorders>
                    <w:tl2br w:val="nil"/>
                    <w:tr2bl w:val="nil"/>
                  </w:tcBorders>
                  <w:vAlign w:val="center"/>
                </w:tcPr>
                <w:p>
                  <w:pPr>
                    <w:ind w:firstLine="420" w:firstLineChars="20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有组织废气：动物饲养废气经负压收集后，经</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1根</w:t>
                  </w:r>
                  <w:r>
                    <w:rPr>
                      <w:rFonts w:hint="eastAsia" w:cs="Times New Roman"/>
                      <w:color w:val="000000" w:themeColor="text1"/>
                      <w:sz w:val="21"/>
                      <w:szCs w:val="21"/>
                      <w:lang w:val="en-US" w:eastAsia="zh-CN"/>
                      <w14:textFill>
                        <w14:solidFill>
                          <w14:schemeClr w14:val="tx1"/>
                        </w14:solidFill>
                      </w14:textFill>
                    </w:rPr>
                    <w:t>70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m高排气筒排放；项目前处理</w:t>
                  </w:r>
                  <w:r>
                    <w:rPr>
                      <w:rFonts w:hint="default" w:ascii="Times New Roman" w:hAnsi="Times New Roman" w:eastAsia="宋体" w:cs="Times New Roman"/>
                      <w:color w:val="000000" w:themeColor="text1"/>
                      <w:sz w:val="21"/>
                      <w:szCs w:val="21"/>
                      <w:lang w:eastAsia="zh-CN"/>
                      <w14:textFill>
                        <w14:solidFill>
                          <w14:schemeClr w14:val="tx1"/>
                        </w14:solidFill>
                      </w14:textFill>
                    </w:rPr>
                    <w:t>和醇提废气经通风橱收集后，经</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1根</w:t>
                  </w:r>
                  <w:r>
                    <w:rPr>
                      <w:rFonts w:hint="eastAsia" w:cs="Times New Roman"/>
                      <w:color w:val="000000" w:themeColor="text1"/>
                      <w:sz w:val="21"/>
                      <w:szCs w:val="21"/>
                      <w:lang w:val="en-US" w:eastAsia="zh-CN"/>
                      <w14:textFill>
                        <w14:solidFill>
                          <w14:schemeClr w14:val="tx1"/>
                        </w14:solidFill>
                      </w14:textFill>
                    </w:rPr>
                    <w:t>70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m高排气筒排放</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项目前处理过程产生的废气主要污染物为非甲烷总烃、苯、甲醇、硫酸雾、NOx、HCl，提取过程产生的污染物主要为乙醇（VOCs以非甲烷总烃表征），其排放浓度和排放速率均可达到《大气污染物综合排放标准》（GB16297-1996）二级排放标准要求</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氨、硫化氢、臭气浓度排放均可达到《恶臭污染物排放标准》（GB14554-93）表2中标准要求</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p>
                  <w:pPr>
                    <w:adjustRightInd w:val="0"/>
                    <w:snapToGrid w:val="0"/>
                    <w:spacing w:line="240" w:lineRule="auto"/>
                    <w:ind w:firstLine="420" w:firstLineChars="20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无组织废气：未收集的无组织废气，应加强厂区通风</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无组织排放能够满足</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《大气污染物综合排放标准》（GB16297-1996）</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表2中无组织排放监控浓度限值要求，</w:t>
                  </w:r>
                  <w:r>
                    <w:rPr>
                      <w:rFonts w:hint="default" w:ascii="Times New Roman" w:hAnsi="Times New Roman" w:eastAsia="宋体" w:cs="Times New Roman"/>
                      <w:color w:val="000000" w:themeColor="text1"/>
                      <w:sz w:val="21"/>
                      <w:szCs w:val="21"/>
                      <w:lang w:eastAsia="zh-CN"/>
                      <w14:textFill>
                        <w14:solidFill>
                          <w14:schemeClr w14:val="tx1"/>
                        </w14:solidFill>
                      </w14:textFill>
                    </w:rPr>
                    <w:t>氨、硫化氢、臭气浓度</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无组织排放能够满足</w:t>
                  </w:r>
                  <w:r>
                    <w:rPr>
                      <w:rFonts w:hint="default" w:ascii="Times New Roman" w:hAnsi="Times New Roman" w:eastAsia="宋体" w:cs="Times New Roman"/>
                      <w:color w:val="000000" w:themeColor="text1"/>
                      <w:sz w:val="21"/>
                      <w:szCs w:val="21"/>
                      <w:lang w:eastAsia="zh-CN"/>
                      <w14:textFill>
                        <w14:solidFill>
                          <w14:schemeClr w14:val="tx1"/>
                        </w14:solidFill>
                      </w14:textFill>
                    </w:rPr>
                    <w:t>《恶臭污染物排放标准》（GB14554-93）表</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1中排放限值要求</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483" w:type="pct"/>
                  <w:tcBorders>
                    <w:tl2br w:val="nil"/>
                    <w:tr2bl w:val="nil"/>
                  </w:tcBorders>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434" w:type="pct"/>
                  <w:tcBorders>
                    <w:tl2br w:val="nil"/>
                    <w:tr2bl w:val="nil"/>
                  </w:tcBorders>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废水</w:t>
                  </w:r>
                </w:p>
              </w:tc>
              <w:tc>
                <w:tcPr>
                  <w:tcW w:w="2023" w:type="pc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实施雨污（废）分流。项目运营期产生的生活污水、地面拖洗废水经化粪池处理，清洗废水经“污水调节</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+厌氧生化+兼氧生化+好氧生化+沉淀池+消毒池</w:t>
                  </w:r>
                  <w:r>
                    <w:rPr>
                      <w:rFonts w:hint="default" w:ascii="Times New Roman" w:hAnsi="Times New Roman" w:eastAsia="宋体" w:cs="Times New Roman"/>
                      <w:bCs/>
                      <w:color w:val="000000" w:themeColor="text1"/>
                      <w:sz w:val="21"/>
                      <w:szCs w:val="21"/>
                      <w:lang w:eastAsia="zh-CN"/>
                      <w14:textFill>
                        <w14:solidFill>
                          <w14:schemeClr w14:val="tx1"/>
                        </w14:solidFill>
                      </w14:textFill>
                    </w:rPr>
                    <w:t>”工艺处理，处理达标后由市政污水管网排入瑶湖污水处理厂。</w:t>
                  </w:r>
                </w:p>
                <w:p>
                  <w:pPr>
                    <w:ind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p>
              </w:tc>
              <w:tc>
                <w:tcPr>
                  <w:tcW w:w="2059" w:type="pct"/>
                  <w:tcBorders>
                    <w:tl2br w:val="nil"/>
                    <w:tr2bl w:val="nil"/>
                  </w:tcBorders>
                  <w:vAlign w:val="center"/>
                </w:tcPr>
                <w:p>
                  <w:pPr>
                    <w:ind w:firstLine="0" w:firstLineChars="0"/>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清洗废水经管道收集后排入“污水调节+厌氧生化+兼氧生化+好氧生化+沉淀池+消毒池”组合工艺处理，生活污水、地面拖洗废水经管道收集后由化粪池预处理，两股废水分别处理达到达到瑶湖污水处理厂接管标准和《医疗机构水污染物排放标准》（GB18466-2005）表2中预处理标准从严值后一并由市政污水管网排入瑶湖污水处理厂深度处理；清下水由市政污水管网直接排入瑶湖污水处理厂，尾水排入赣江南支</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483" w:type="pct"/>
                  <w:tcBorders>
                    <w:tl2br w:val="nil"/>
                    <w:tr2bl w:val="nil"/>
                  </w:tcBorders>
                  <w:vAlign w:val="center"/>
                </w:tcPr>
                <w:p>
                  <w:pPr>
                    <w:ind w:left="-105" w:leftChars="-50" w:right="-105" w:rightChars="-5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4" w:type="pct"/>
                  <w:tcBorders>
                    <w:tl2br w:val="nil"/>
                    <w:tr2bl w:val="nil"/>
                  </w:tcBorders>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噪声</w:t>
                  </w:r>
                </w:p>
              </w:tc>
              <w:tc>
                <w:tcPr>
                  <w:tcW w:w="2023" w:type="pct"/>
                  <w:tcBorders>
                    <w:tl2br w:val="nil"/>
                    <w:tr2bl w:val="nil"/>
                  </w:tcBorders>
                  <w:vAlign w:val="center"/>
                </w:tcPr>
                <w:p>
                  <w:pPr>
                    <w:spacing w:line="240" w:lineRule="auto"/>
                    <w:ind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选用低噪声的机械设备，并合理布置高噪声设备，对生产噪声的设备采取减震、隔声、消声等措施，以减少噪声对周边环境的影响。</w:t>
                  </w:r>
                </w:p>
              </w:tc>
              <w:tc>
                <w:tcPr>
                  <w:tcW w:w="2059" w:type="pct"/>
                  <w:tcBorders>
                    <w:tl2br w:val="nil"/>
                    <w:tr2bl w:val="nil"/>
                  </w:tcBorders>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选用低噪声的机械设备，并合理布置高噪声设备，对生产噪声的设备采取减震、隔声、消声等措施，以减少噪声对周边环境的影响。</w:t>
                  </w:r>
                </w:p>
              </w:tc>
              <w:tc>
                <w:tcPr>
                  <w:tcW w:w="483" w:type="pct"/>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65" w:hRule="atLeast"/>
                <w:jc w:val="center"/>
              </w:trPr>
              <w:tc>
                <w:tcPr>
                  <w:tcW w:w="434" w:type="pct"/>
                  <w:tcBorders>
                    <w:tl2br w:val="nil"/>
                    <w:tr2bl w:val="nil"/>
                  </w:tcBorders>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固废</w:t>
                  </w:r>
                </w:p>
              </w:tc>
              <w:tc>
                <w:tcPr>
                  <w:tcW w:w="2023" w:type="pc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应按照“资源化、减量化、无害化”处置原则，认真落实各类固废收集、处置和综合利用措施。项目产生的实验废弃物、潜在危害饲养废弃物、病死动物尸体、药理学动物尸体、污水处理污泥等危险废物交由有资质单位处理；正常动物尸体委托持有许可证的动物尸体机构处理；正常饲养废弃物委托专门处置动物粪便单位处置；废防渗膜、中药渣均外售综合利用；生活垃圾交由环卫部门清运。</w:t>
                  </w:r>
                </w:p>
                <w:p>
                  <w:pPr>
                    <w:pStyle w:val="2"/>
                    <w:spacing w:line="240" w:lineRule="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危险废物暂存间按《危险废物贮存污染控制标准》（GB18597-2001）及其修改单要求建设；一般工业固体废物贮存过程应满足防渗漏、防雨淋、防扬尘等环境保护要求。</w:t>
                  </w:r>
                </w:p>
                <w:p>
                  <w:pPr>
                    <w:spacing w:line="240" w:lineRule="auto"/>
                    <w:ind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p>
              </w:tc>
              <w:tc>
                <w:tcPr>
                  <w:tcW w:w="2059" w:type="pct"/>
                  <w:tcBorders>
                    <w:tl2br w:val="nil"/>
                    <w:tr2bl w:val="nil"/>
                  </w:tcBorders>
                  <w:vAlign w:val="center"/>
                </w:tcPr>
                <w:p>
                  <w:pPr>
                    <w:topLinePunc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实验废弃物、污水处理污泥交由九江浦江环保工程有限公司处理；动物尸体、潜在危害饲养废弃物、病死动物尸体、药理学动物尸体</w:t>
                  </w:r>
                  <w:r>
                    <w:rPr>
                      <w:rFonts w:hint="eastAsia" w:cs="Times New Roman"/>
                      <w:color w:val="000000" w:themeColor="text1"/>
                      <w:sz w:val="21"/>
                      <w:szCs w:val="21"/>
                      <w:lang w:eastAsia="zh-CN"/>
                      <w14:textFill>
                        <w14:solidFill>
                          <w14:schemeClr w14:val="tx1"/>
                        </w14:solidFill>
                      </w14:textFill>
                    </w:rPr>
                    <w:t>等医疗废物</w:t>
                  </w:r>
                  <w:r>
                    <w:rPr>
                      <w:rFonts w:hint="default" w:ascii="Times New Roman" w:hAnsi="Times New Roman" w:eastAsia="宋体" w:cs="Times New Roman"/>
                      <w:color w:val="000000" w:themeColor="text1"/>
                      <w:sz w:val="21"/>
                      <w:szCs w:val="21"/>
                      <w14:textFill>
                        <w14:solidFill>
                          <w14:schemeClr w14:val="tx1"/>
                        </w14:solidFill>
                      </w14:textFill>
                    </w:rPr>
                    <w:t>委托南昌市医疗废物处置中心有限公司处理；正常饲养废弃物委托专门处置动物粪便单位处置；废防渗膜、中药渣均外售综合利用；生活垃圾交由环卫部门清运。采取以上措施后，本项目所产生的固体废物均可得到妥善处理，处理率为100%，对周围环境影响较小。</w:t>
                  </w:r>
                </w:p>
              </w:tc>
              <w:tc>
                <w:tcPr>
                  <w:tcW w:w="483" w:type="pct"/>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434" w:type="pct"/>
                  <w:tcBorders>
                    <w:tl2br w:val="nil"/>
                    <w:tr2bl w:val="nil"/>
                  </w:tcBorders>
                  <w:vAlign w:val="center"/>
                </w:tcPr>
                <w:p>
                  <w:pPr>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排污口规范化</w:t>
                  </w:r>
                </w:p>
              </w:tc>
              <w:tc>
                <w:tcPr>
                  <w:tcW w:w="2023" w:type="pc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按国家和我省排污口规范化要求规范排污口建设，设置各类排污口环保标识。</w:t>
                  </w:r>
                </w:p>
              </w:tc>
              <w:tc>
                <w:tcPr>
                  <w:tcW w:w="2059" w:type="pct"/>
                  <w:tcBorders>
                    <w:tl2br w:val="nil"/>
                    <w:tr2bl w:val="nil"/>
                  </w:tcBorders>
                  <w:vAlign w:val="center"/>
                </w:tcPr>
                <w:p>
                  <w:pPr>
                    <w:pStyle w:val="1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已按规范建设排污口，并设置环保标志牌</w:t>
                  </w:r>
                </w:p>
              </w:tc>
              <w:tc>
                <w:tcPr>
                  <w:tcW w:w="483" w:type="pct"/>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434" w:type="pct"/>
                  <w:tcBorders>
                    <w:tl2br w:val="nil"/>
                    <w:tr2bl w:val="nil"/>
                  </w:tcBorders>
                  <w:vAlign w:val="center"/>
                </w:tcPr>
                <w:p>
                  <w:pPr>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地下水</w:t>
                  </w:r>
                </w:p>
              </w:tc>
              <w:tc>
                <w:tcPr>
                  <w:tcW w:w="2023" w:type="pct"/>
                  <w:tcBorders>
                    <w:tl2br w:val="nil"/>
                    <w:tr2bl w:val="nil"/>
                  </w:tcBorders>
                  <w:vAlign w:val="center"/>
                </w:tcPr>
                <w:p>
                  <w:pPr>
                    <w:spacing w:line="240" w:lineRule="auto"/>
                    <w:ind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项目应采取分区防渗等措施减轻对地下水和土壤的影响。</w:t>
                  </w:r>
                </w:p>
              </w:tc>
              <w:tc>
                <w:tcPr>
                  <w:tcW w:w="2059" w:type="pct"/>
                  <w:tcBorders>
                    <w:tl2br w:val="nil"/>
                    <w:tr2bl w:val="nil"/>
                  </w:tcBorders>
                  <w:vAlign w:val="center"/>
                </w:tcPr>
                <w:p>
                  <w:pPr>
                    <w:topLinePunct/>
                    <w:jc w:val="left"/>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根据项目各功能单元是否可能对地下水造成污染及其风险程度，将项目所在区域划分为重点防渗区（动物尸体暂存房、危废暂存间、污水处理设施）、一般防渗区（一般固废间、化粪池）和简单防渗区（其他区域）。</w:t>
                  </w:r>
                </w:p>
              </w:tc>
              <w:tc>
                <w:tcPr>
                  <w:tcW w:w="483"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434" w:type="pct"/>
                  <w:tcBorders>
                    <w:tl2br w:val="nil"/>
                    <w:tr2bl w:val="nil"/>
                  </w:tcBorders>
                  <w:vAlign w:val="center"/>
                </w:tcPr>
                <w:p>
                  <w:pPr>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项目周边规划控制要求</w:t>
                  </w:r>
                </w:p>
              </w:tc>
              <w:tc>
                <w:tcPr>
                  <w:tcW w:w="2023" w:type="pct"/>
                  <w:tcBorders>
                    <w:tl2br w:val="nil"/>
                    <w:tr2bl w:val="nil"/>
                  </w:tcBorders>
                  <w:vAlign w:val="center"/>
                </w:tcPr>
                <w:p>
                  <w:pPr>
                    <w:spacing w:line="240" w:lineRule="auto"/>
                    <w:ind w:firstLine="420" w:firstLineChars="20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以项目边界为起点设置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100m卫生防护距离，你司应配合高新区规划部门，严格控制好本项目周边规划，项目卫生防护距离内不得建设住宅、学校、医院等环境敏感点，避免废气造成的不利环境影响。</w:t>
                  </w:r>
                </w:p>
              </w:tc>
              <w:tc>
                <w:tcPr>
                  <w:tcW w:w="2059" w:type="pct"/>
                  <w:tcBorders>
                    <w:tl2br w:val="nil"/>
                    <w:tr2bl w:val="nil"/>
                  </w:tcBorders>
                  <w:vAlign w:val="center"/>
                </w:tcPr>
                <w:p>
                  <w:pPr>
                    <w:topLinePunct/>
                    <w:jc w:val="left"/>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项目100m卫生防护距离内无</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住宅、学校、医院等环境敏感点</w:t>
                  </w:r>
                </w:p>
              </w:tc>
              <w:tc>
                <w:tcPr>
                  <w:tcW w:w="483"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已落实</w:t>
                  </w:r>
                </w:p>
              </w:tc>
            </w:tr>
          </w:tbl>
          <w:p>
            <w:pPr>
              <w:spacing w:line="360" w:lineRule="auto"/>
              <w:ind w:firstLine="480" w:firstLineChars="200"/>
              <w:rPr>
                <w:color w:val="000000" w:themeColor="text1"/>
                <w:sz w:val="24"/>
                <w14:textFill>
                  <w14:solidFill>
                    <w14:schemeClr w14:val="tx1"/>
                  </w14:solidFill>
                </w14:textFill>
              </w:rPr>
            </w:pPr>
          </w:p>
        </w:tc>
      </w:tr>
    </w:tbl>
    <w:p>
      <w:pPr>
        <w:bidi w:val="0"/>
        <w:rPr>
          <w:color w:val="000000" w:themeColor="text1"/>
          <w14:textFill>
            <w14:solidFill>
              <w14:schemeClr w14:val="tx1"/>
            </w14:solidFill>
          </w14:textFill>
        </w:rPr>
        <w:sectPr>
          <w:pgSz w:w="11907" w:h="16840"/>
          <w:pgMar w:top="1077" w:right="1247" w:bottom="1077" w:left="1247" w:header="851" w:footer="442" w:gutter="0"/>
          <w:pgBorders>
            <w:top w:val="none" w:sz="0" w:space="0"/>
            <w:left w:val="none" w:sz="0" w:space="0"/>
            <w:bottom w:val="none" w:sz="0" w:space="0"/>
            <w:right w:val="none" w:sz="0" w:space="0"/>
          </w:pgBorders>
          <w:cols w:space="720" w:num="1"/>
          <w:docGrid w:type="lines" w:linePitch="312" w:charSpace="0"/>
        </w:sectPr>
      </w:pPr>
      <w:bookmarkStart w:id="10" w:name="_Toc523906063"/>
    </w:p>
    <w:p>
      <w:pPr>
        <w:pStyle w:val="3"/>
        <w:rPr>
          <w:b w:val="0"/>
          <w:color w:val="000000" w:themeColor="text1"/>
          <w:szCs w:val="24"/>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九  验收</w:t>
      </w:r>
      <w:r>
        <w:rPr>
          <w:color w:val="000000" w:themeColor="text1"/>
          <w14:textFill>
            <w14:solidFill>
              <w14:schemeClr w14:val="tx1"/>
            </w14:solidFill>
          </w14:textFill>
        </w:rPr>
        <w:t>监测结论及建议</w:t>
      </w:r>
      <w:bookmarkEnd w:id="10"/>
    </w:p>
    <w:tbl>
      <w:tblPr>
        <w:tblStyle w:val="29"/>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7" w:type="dxa"/>
            <w:shd w:val="clear" w:color="auto" w:fill="auto"/>
          </w:tcPr>
          <w:p>
            <w:pPr>
              <w:widowControl/>
              <w:shd w:val="clear" w:color="auto" w:fill="FFFFFF"/>
              <w:spacing w:line="360" w:lineRule="auto"/>
              <w:rPr>
                <w:b/>
                <w:color w:val="000000" w:themeColor="text1"/>
                <w:kern w:val="0"/>
                <w:sz w:val="24"/>
                <w:szCs w:val="24"/>
                <w14:textFill>
                  <w14:solidFill>
                    <w14:schemeClr w14:val="tx1"/>
                  </w14:solidFill>
                </w14:textFill>
              </w:rPr>
            </w:pPr>
            <w:r>
              <w:rPr>
                <w:rFonts w:hint="eastAsia"/>
                <w:b/>
                <w:color w:val="000000" w:themeColor="text1"/>
                <w:kern w:val="0"/>
                <w:sz w:val="24"/>
                <w:szCs w:val="24"/>
                <w14:textFill>
                  <w14:solidFill>
                    <w14:schemeClr w14:val="tx1"/>
                  </w14:solidFill>
                </w14:textFill>
              </w:rPr>
              <w:t>9.1 “三同时”执行情况</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项目实施前进行了环境影响评价，项目在实施过程中基本执行了国家建设项目环境保护“三同时”制度。</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w:t>
            </w:r>
            <w:r>
              <w:rPr>
                <w:rFonts w:hint="eastAsia"/>
                <w:color w:val="000000" w:themeColor="text1"/>
                <w:sz w:val="24"/>
                <w:szCs w:val="24"/>
                <w:lang w:eastAsia="zh-CN"/>
                <w14:textFill>
                  <w14:solidFill>
                    <w14:schemeClr w14:val="tx1"/>
                  </w14:solidFill>
                </w14:textFill>
              </w:rPr>
              <w:t>南昌航大节能环保服务有限公司《中山大学南昌研究院生物医药研究中心建设项目环境影响报告表》</w:t>
            </w:r>
            <w:r>
              <w:rPr>
                <w:color w:val="000000" w:themeColor="text1"/>
                <w:sz w:val="24"/>
                <w:szCs w:val="24"/>
                <w14:textFill>
                  <w14:solidFill>
                    <w14:schemeClr w14:val="tx1"/>
                  </w14:solidFill>
                </w14:textFill>
              </w:rPr>
              <w:t>。</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w:t>
            </w:r>
            <w:r>
              <w:rPr>
                <w:rFonts w:hint="eastAsia"/>
                <w:color w:val="000000" w:themeColor="text1"/>
                <w:sz w:val="24"/>
                <w:szCs w:val="24"/>
                <w:lang w:eastAsia="zh-CN"/>
                <w14:textFill>
                  <w14:solidFill>
                    <w14:schemeClr w14:val="tx1"/>
                  </w14:solidFill>
                </w14:textFill>
              </w:rPr>
              <w:t>南昌高新技术产业开发区管理委员会城市管理局，关于中山大学南昌研究院生物医药研究中心建设项目环境影响报告表的批复，洪高新管城审批字〔202</w:t>
            </w:r>
            <w:r>
              <w:rPr>
                <w:rFonts w:hint="eastAsia"/>
                <w:color w:val="000000" w:themeColor="text1"/>
                <w:sz w:val="24"/>
                <w:szCs w:val="24"/>
                <w:lang w:val="en-US" w:eastAsia="zh-CN"/>
                <w14:textFill>
                  <w14:solidFill>
                    <w14:schemeClr w14:val="tx1"/>
                  </w14:solidFill>
                </w14:textFill>
              </w:rPr>
              <w:t>2</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46</w:t>
            </w:r>
            <w:r>
              <w:rPr>
                <w:rFonts w:hint="eastAsia"/>
                <w:color w:val="000000" w:themeColor="text1"/>
                <w:sz w:val="24"/>
                <w:szCs w:val="24"/>
                <w:lang w:eastAsia="zh-CN"/>
                <w14:textFill>
                  <w14:solidFill>
                    <w14:schemeClr w14:val="tx1"/>
                  </w14:solidFill>
                </w14:textFill>
              </w:rPr>
              <w:t>号</w:t>
            </w:r>
            <w:r>
              <w:rPr>
                <w:color w:val="000000" w:themeColor="text1"/>
                <w:sz w:val="24"/>
                <w:szCs w:val="24"/>
                <w14:textFill>
                  <w14:solidFill>
                    <w14:schemeClr w14:val="tx1"/>
                  </w14:solidFill>
                </w14:textFill>
              </w:rPr>
              <w:t>。</w:t>
            </w:r>
          </w:p>
          <w:p>
            <w:pPr>
              <w:widowControl/>
              <w:spacing w:line="360" w:lineRule="auto"/>
              <w:rPr>
                <w:b/>
                <w:color w:val="000000" w:themeColor="text1"/>
                <w:kern w:val="0"/>
                <w:sz w:val="24"/>
                <w:szCs w:val="24"/>
                <w14:textFill>
                  <w14:solidFill>
                    <w14:schemeClr w14:val="tx1"/>
                  </w14:solidFill>
                </w14:textFill>
              </w:rPr>
            </w:pPr>
            <w:r>
              <w:rPr>
                <w:rFonts w:hint="eastAsia"/>
                <w:b/>
                <w:color w:val="000000" w:themeColor="text1"/>
                <w:kern w:val="0"/>
                <w:sz w:val="24"/>
                <w:szCs w:val="24"/>
                <w14:textFill>
                  <w14:solidFill>
                    <w14:schemeClr w14:val="tx1"/>
                  </w14:solidFill>
                </w14:textFill>
              </w:rPr>
              <w:t>9.</w:t>
            </w:r>
            <w:r>
              <w:rPr>
                <w:b/>
                <w:color w:val="000000" w:themeColor="text1"/>
                <w:kern w:val="0"/>
                <w:sz w:val="24"/>
                <w:szCs w:val="24"/>
                <w14:textFill>
                  <w14:solidFill>
                    <w14:schemeClr w14:val="tx1"/>
                  </w14:solidFill>
                </w14:textFill>
              </w:rPr>
              <w:t>2</w:t>
            </w:r>
            <w:r>
              <w:rPr>
                <w:rFonts w:hint="eastAsia"/>
                <w:b/>
                <w:color w:val="000000" w:themeColor="text1"/>
                <w:kern w:val="0"/>
                <w:sz w:val="24"/>
                <w:szCs w:val="24"/>
                <w14:textFill>
                  <w14:solidFill>
                    <w14:schemeClr w14:val="tx1"/>
                  </w14:solidFill>
                </w14:textFill>
              </w:rPr>
              <w:t xml:space="preserve"> 环保设施调试运行效果</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highlight w:val="none"/>
                <w14:textFill>
                  <w14:solidFill>
                    <w14:schemeClr w14:val="tx1"/>
                  </w14:solidFill>
                </w14:textFill>
              </w:rPr>
              <w:t>202</w:t>
            </w:r>
            <w:r>
              <w:rPr>
                <w:rFonts w:hint="eastAsia"/>
                <w:color w:val="000000" w:themeColor="text1"/>
                <w:sz w:val="24"/>
                <w:szCs w:val="24"/>
                <w:highlight w:val="none"/>
                <w:lang w:val="en-US" w:eastAsia="zh-CN"/>
                <w14:textFill>
                  <w14:solidFill>
                    <w14:schemeClr w14:val="tx1"/>
                  </w14:solidFill>
                </w14:textFill>
              </w:rPr>
              <w:t>4</w:t>
            </w:r>
            <w:r>
              <w:rPr>
                <w:rFonts w:hint="eastAsia"/>
                <w:color w:val="000000" w:themeColor="text1"/>
                <w:sz w:val="24"/>
                <w:szCs w:val="24"/>
                <w:highlight w:val="none"/>
                <w14:textFill>
                  <w14:solidFill>
                    <w14:schemeClr w14:val="tx1"/>
                  </w14:solidFill>
                </w14:textFill>
              </w:rPr>
              <w:t>年</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月</w:t>
            </w:r>
            <w:r>
              <w:rPr>
                <w:rFonts w:hint="eastAsia"/>
                <w:color w:val="000000" w:themeColor="text1"/>
                <w:sz w:val="24"/>
                <w:szCs w:val="24"/>
                <w:highlight w:val="none"/>
                <w:lang w:val="en-US" w:eastAsia="zh-CN"/>
                <w14:textFill>
                  <w14:solidFill>
                    <w14:schemeClr w14:val="tx1"/>
                  </w14:solidFill>
                </w14:textFill>
              </w:rPr>
              <w:t>8</w:t>
            </w:r>
            <w:r>
              <w:rPr>
                <w:rFonts w:hint="eastAsia"/>
                <w:color w:val="000000" w:themeColor="text1"/>
                <w:sz w:val="24"/>
                <w:szCs w:val="24"/>
                <w:highlight w:val="none"/>
                <w14:textFill>
                  <w14:solidFill>
                    <w14:schemeClr w14:val="tx1"/>
                  </w14:solidFill>
                </w14:textFill>
              </w:rPr>
              <w:t>日~</w:t>
            </w:r>
            <w:r>
              <w:rPr>
                <w:rFonts w:hint="eastAsia"/>
                <w:color w:val="000000" w:themeColor="text1"/>
                <w:sz w:val="24"/>
                <w:szCs w:val="24"/>
                <w:highlight w:val="none"/>
                <w:lang w:val="en-US" w:eastAsia="zh-CN"/>
                <w14:textFill>
                  <w14:solidFill>
                    <w14:schemeClr w14:val="tx1"/>
                  </w14:solidFill>
                </w14:textFill>
              </w:rPr>
              <w:t>2024年5</w:t>
            </w:r>
            <w:r>
              <w:rPr>
                <w:rFonts w:hint="eastAsia"/>
                <w:color w:val="000000" w:themeColor="text1"/>
                <w:sz w:val="24"/>
                <w:szCs w:val="24"/>
                <w:highlight w:val="none"/>
                <w14:textFill>
                  <w14:solidFill>
                    <w14:schemeClr w14:val="tx1"/>
                  </w14:solidFill>
                </w14:textFill>
              </w:rPr>
              <w:t>月</w:t>
            </w:r>
            <w:r>
              <w:rPr>
                <w:rFonts w:hint="eastAsia"/>
                <w:color w:val="000000" w:themeColor="text1"/>
                <w:sz w:val="24"/>
                <w:szCs w:val="24"/>
                <w:highlight w:val="none"/>
                <w:lang w:val="en-US" w:eastAsia="zh-CN"/>
                <w14:textFill>
                  <w14:solidFill>
                    <w14:schemeClr w14:val="tx1"/>
                  </w14:solidFill>
                </w14:textFill>
              </w:rPr>
              <w:t>9</w:t>
            </w:r>
            <w:r>
              <w:rPr>
                <w:rFonts w:hint="eastAsia"/>
                <w:color w:val="000000" w:themeColor="text1"/>
                <w:sz w:val="24"/>
                <w:szCs w:val="24"/>
                <w:highlight w:val="none"/>
                <w14:textFill>
                  <w14:solidFill>
                    <w14:schemeClr w14:val="tx1"/>
                  </w14:solidFill>
                </w14:textFill>
              </w:rPr>
              <w:t>日，</w:t>
            </w:r>
            <w:r>
              <w:rPr>
                <w:rFonts w:hint="eastAsia"/>
                <w:color w:val="000000" w:themeColor="text1"/>
                <w:sz w:val="24"/>
                <w:szCs w:val="24"/>
                <w:highlight w:val="none"/>
                <w:lang w:val="en-US" w:eastAsia="zh-CN"/>
                <w14:textFill>
                  <w14:solidFill>
                    <w14:schemeClr w14:val="tx1"/>
                  </w14:solidFill>
                </w14:textFill>
              </w:rPr>
              <w:t>南昌宇环检测技术有限公司</w:t>
            </w:r>
            <w:r>
              <w:rPr>
                <w:rFonts w:hint="eastAsia"/>
                <w:color w:val="000000" w:themeColor="text1"/>
                <w:sz w:val="24"/>
                <w:szCs w:val="24"/>
                <w14:textFill>
                  <w14:solidFill>
                    <w14:schemeClr w14:val="tx1"/>
                  </w14:solidFill>
                </w14:textFill>
              </w:rPr>
              <w:t>对</w:t>
            </w:r>
            <w:r>
              <w:rPr>
                <w:rFonts w:hint="eastAsia"/>
                <w:color w:val="000000" w:themeColor="text1"/>
                <w:sz w:val="24"/>
                <w:szCs w:val="24"/>
                <w:lang w:eastAsia="zh-CN"/>
                <w14:textFill>
                  <w14:solidFill>
                    <w14:schemeClr w14:val="tx1"/>
                  </w14:solidFill>
                </w14:textFill>
              </w:rPr>
              <w:t>中山大学南昌研究院生物医药研究中心建设项目</w:t>
            </w:r>
            <w:r>
              <w:rPr>
                <w:rFonts w:hint="eastAsia"/>
                <w:color w:val="000000" w:themeColor="text1"/>
                <w:sz w:val="24"/>
                <w:szCs w:val="24"/>
                <w14:textFill>
                  <w14:solidFill>
                    <w14:schemeClr w14:val="tx1"/>
                  </w14:solidFill>
                </w14:textFill>
              </w:rPr>
              <w:t>进行了现场检查和验收监测。本次对项目污染源中废气、厂界噪声、废水进行了监测与检查，检查和监测结果表明：</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1、建设单位基本按照环评报告表的要求落实环保措施，环保制度得到一定的执行，但还需进一步落实各项环保措施、完善环境保护管理制度和加强环保设施运行管理。</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、各类污染物排放均可达标。</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（1）废水</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本次验收监测结果表明，生活污水经化粪池预处理后，</w:t>
            </w:r>
            <w:r>
              <w:rPr>
                <w:rFonts w:hint="eastAsia"/>
                <w:color w:val="000000" w:themeColor="text1"/>
                <w:sz w:val="24"/>
                <w:szCs w:val="24"/>
                <w:lang w:val="en-US" w:eastAsia="zh-CN"/>
                <w14:textFill>
                  <w14:solidFill>
                    <w14:schemeClr w14:val="tx1"/>
                  </w14:solidFill>
                </w14:textFill>
              </w:rPr>
              <w:t>pH、CODcr、BOD</w:t>
            </w:r>
            <w:r>
              <w:rPr>
                <w:rFonts w:hint="eastAsia"/>
                <w:color w:val="000000" w:themeColor="text1"/>
                <w:sz w:val="24"/>
                <w:szCs w:val="24"/>
                <w:vertAlign w:val="subscript"/>
                <w:lang w:val="en-US" w:eastAsia="zh-CN"/>
                <w14:textFill>
                  <w14:solidFill>
                    <w14:schemeClr w14:val="tx1"/>
                  </w14:solidFill>
                </w14:textFill>
              </w:rPr>
              <w:t>5</w:t>
            </w:r>
            <w:r>
              <w:rPr>
                <w:rFonts w:hint="eastAsia"/>
                <w:color w:val="000000" w:themeColor="text1"/>
                <w:sz w:val="24"/>
                <w:szCs w:val="24"/>
                <w:lang w:val="en-US" w:eastAsia="zh-CN"/>
                <w14:textFill>
                  <w14:solidFill>
                    <w14:schemeClr w14:val="tx1"/>
                  </w14:solidFill>
                </w14:textFill>
              </w:rPr>
              <w:t>、SS、</w:t>
            </w:r>
            <w:r>
              <w:rPr>
                <w:rFonts w:hint="eastAsia"/>
                <w:color w:val="000000" w:themeColor="text1"/>
                <w:sz w:val="24"/>
                <w:szCs w:val="24"/>
                <w14:textFill>
                  <w14:solidFill>
                    <w14:schemeClr w14:val="tx1"/>
                  </w14:solidFill>
                </w14:textFill>
              </w:rPr>
              <w:t>氨氮、</w:t>
            </w:r>
            <w:r>
              <w:rPr>
                <w:rFonts w:hint="eastAsia"/>
                <w:color w:val="000000" w:themeColor="text1"/>
                <w:sz w:val="24"/>
                <w:szCs w:val="24"/>
                <w:lang w:val="en-US" w:eastAsia="zh-CN"/>
                <w14:textFill>
                  <w14:solidFill>
                    <w14:schemeClr w14:val="tx1"/>
                  </w14:solidFill>
                </w14:textFill>
              </w:rPr>
              <w:t>TN、</w:t>
            </w:r>
            <w:r>
              <w:rPr>
                <w:rFonts w:hint="eastAsia"/>
                <w:color w:val="000000" w:themeColor="text1"/>
                <w:sz w:val="24"/>
                <w:szCs w:val="24"/>
                <w14:textFill>
                  <w14:solidFill>
                    <w14:schemeClr w14:val="tx1"/>
                  </w14:solidFill>
                </w14:textFill>
              </w:rPr>
              <w:t>TP水质可以达到瑶湖污水处理厂接管标准和《医疗机构水污染物排放标准》（GB18466-2005）表2中预处理标准从严值</w:t>
            </w:r>
            <w:r>
              <w:rPr>
                <w:rFonts w:hint="eastAsia"/>
                <w:color w:val="000000" w:themeColor="text1"/>
                <w:sz w:val="24"/>
                <w:szCs w:val="24"/>
                <w:lang w:eastAsia="zh-CN"/>
                <w14:textFill>
                  <w14:solidFill>
                    <w14:schemeClr w14:val="tx1"/>
                  </w14:solidFill>
                </w14:textFill>
              </w:rPr>
              <w:t>，粪大肠菌群数（MPN/L）、LAS、总余氯</w:t>
            </w:r>
            <w:r>
              <w:rPr>
                <w:rFonts w:hint="eastAsia"/>
                <w:color w:val="000000" w:themeColor="text1"/>
                <w:sz w:val="24"/>
                <w:szCs w:val="24"/>
                <w14:textFill>
                  <w14:solidFill>
                    <w14:schemeClr w14:val="tx1"/>
                  </w14:solidFill>
                </w14:textFill>
              </w:rPr>
              <w:t>可以达到《医疗机构水污染物排放标准》（GB18466-2005）表2中排放标准</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由园区污水管网排入</w:t>
            </w:r>
            <w:r>
              <w:rPr>
                <w:rFonts w:hint="eastAsia"/>
                <w:color w:val="000000" w:themeColor="text1"/>
                <w:sz w:val="24"/>
                <w:szCs w:val="24"/>
                <w:lang w:eastAsia="zh-CN"/>
                <w14:textFill>
                  <w14:solidFill>
                    <w14:schemeClr w14:val="tx1"/>
                  </w14:solidFill>
                </w14:textFill>
              </w:rPr>
              <w:t>瑶湖</w:t>
            </w:r>
            <w:r>
              <w:rPr>
                <w:rFonts w:hint="eastAsia"/>
                <w:color w:val="000000" w:themeColor="text1"/>
                <w:sz w:val="24"/>
                <w:szCs w:val="24"/>
                <w14:textFill>
                  <w14:solidFill>
                    <w14:schemeClr w14:val="tx1"/>
                  </w14:solidFill>
                </w14:textFill>
              </w:rPr>
              <w:t>污水处理厂，污水处理厂排放尾水执行《城镇污水处理厂污染物排放标准》（GB18918-2002）一级A标准。</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）废</w:t>
            </w:r>
            <w:r>
              <w:rPr>
                <w:rFonts w:hint="eastAsia"/>
                <w:color w:val="000000" w:themeColor="text1"/>
                <w:sz w:val="24"/>
                <w:szCs w:val="24"/>
                <w14:textFill>
                  <w14:solidFill>
                    <w14:schemeClr w14:val="tx1"/>
                  </w14:solidFill>
                </w14:textFill>
              </w:rPr>
              <w:t>气</w:t>
            </w:r>
          </w:p>
          <w:p>
            <w:pPr>
              <w:adjustRightInd w:val="0"/>
              <w:snapToGrid w:val="0"/>
              <w:spacing w:line="360" w:lineRule="auto"/>
              <w:ind w:firstLine="480" w:firstLineChars="200"/>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有组织废气：动物饲养废气经过室内负压收集后由1根</w:t>
            </w:r>
            <w:r>
              <w:rPr>
                <w:rFonts w:hint="eastAsia"/>
                <w:color w:val="000000" w:themeColor="text1"/>
                <w:sz w:val="24"/>
                <w:szCs w:val="24"/>
                <w:lang w:val="en-US" w:eastAsia="zh-CN"/>
                <w14:textFill>
                  <w14:solidFill>
                    <w14:schemeClr w14:val="tx1"/>
                  </w14:solidFill>
                </w14:textFill>
              </w:rPr>
              <w:t>70</w:t>
            </w:r>
            <w:r>
              <w:rPr>
                <w:rFonts w:hint="eastAsia"/>
                <w:color w:val="000000" w:themeColor="text1"/>
                <w:sz w:val="24"/>
                <w:szCs w:val="24"/>
                <w:lang w:eastAsia="zh-CN"/>
                <w14:textFill>
                  <w14:solidFill>
                    <w14:schemeClr w14:val="tx1"/>
                  </w14:solidFill>
                </w14:textFill>
              </w:rPr>
              <w:t>m高排气筒（DA001）直接排放，前处理和醇提废气经过通风橱收集后由1根</w:t>
            </w:r>
            <w:r>
              <w:rPr>
                <w:rFonts w:hint="eastAsia"/>
                <w:color w:val="000000" w:themeColor="text1"/>
                <w:sz w:val="24"/>
                <w:szCs w:val="24"/>
                <w:lang w:val="en-US" w:eastAsia="zh-CN"/>
                <w14:textFill>
                  <w14:solidFill>
                    <w14:schemeClr w14:val="tx1"/>
                  </w14:solidFill>
                </w14:textFill>
              </w:rPr>
              <w:t>70</w:t>
            </w:r>
            <w:r>
              <w:rPr>
                <w:rFonts w:hint="eastAsia"/>
                <w:color w:val="000000" w:themeColor="text1"/>
                <w:sz w:val="24"/>
                <w:szCs w:val="24"/>
                <w:lang w:eastAsia="zh-CN"/>
                <w14:textFill>
                  <w14:solidFill>
                    <w14:schemeClr w14:val="tx1"/>
                  </w14:solidFill>
                </w14:textFill>
              </w:rPr>
              <w:t>m高排气筒（DA002）直接排放。前处理过程产生的废气主要污染物为非甲烷总烃、苯、甲醇、硫酸雾、NOx、HCl，提取过程产生的污染物主要为乙醇（VOCs以非甲烷总烃表征），其排放浓度和排放速率均可达到《大气污染物综合排放标准》（GB16297-1996）二级排放标准要求，无组织排放能够满足《大气污染物综合排放标准》（GB16297-1996）表2中无组织排放监控浓度限值要求；氨、硫化氢、臭气浓度排放均可达到《恶臭污染物排放标准》（GB14554-93）表2中标准要求，无组织排放能够满足《恶臭污染物排放标准》（GB14554-93）表1中排放限值要求。</w:t>
            </w:r>
            <w:r>
              <w:rPr>
                <w:rFonts w:hint="eastAsia" w:cs="Times New Roman"/>
                <w:color w:val="000000" w:themeColor="text1"/>
                <w:sz w:val="24"/>
                <w:szCs w:val="24"/>
                <w:lang w:val="en-US" w:eastAsia="zh-CN"/>
                <w14:textFill>
                  <w14:solidFill>
                    <w14:schemeClr w14:val="tx1"/>
                  </w14:solidFill>
                </w14:textFill>
              </w:rPr>
              <w:t>厂房内无组织</w:t>
            </w:r>
            <w:r>
              <w:rPr>
                <w:rFonts w:hint="eastAsia" w:ascii="Times New Roman" w:hAnsi="Times New Roman" w:cs="Times New Roman"/>
                <w:color w:val="000000" w:themeColor="text1"/>
                <w:sz w:val="24"/>
                <w:szCs w:val="24"/>
                <w14:textFill>
                  <w14:solidFill>
                    <w14:schemeClr w14:val="tx1"/>
                  </w14:solidFill>
                </w14:textFill>
              </w:rPr>
              <w:t>NHM</w:t>
            </w:r>
            <w:r>
              <w:rPr>
                <w:rFonts w:hint="eastAsia" w:ascii="Times New Roman" w:hAnsi="Times New Roman" w:cs="Times New Roman"/>
                <w:color w:val="000000" w:themeColor="text1"/>
                <w:sz w:val="24"/>
                <w:szCs w:val="24"/>
                <w:lang w:val="en-US" w:eastAsia="zh-CN"/>
                <w14:textFill>
                  <w14:solidFill>
                    <w14:schemeClr w14:val="tx1"/>
                  </w14:solidFill>
                </w14:textFill>
              </w:rPr>
              <w:t>C</w:t>
            </w:r>
            <w:r>
              <w:rPr>
                <w:rFonts w:hint="eastAsia" w:ascii="Times New Roman" w:hAnsi="Times New Roman" w:cs="Times New Roman"/>
                <w:color w:val="000000" w:themeColor="text1"/>
                <w:sz w:val="24"/>
                <w:szCs w:val="24"/>
                <w:lang w:eastAsia="zh-CN"/>
                <w14:textFill>
                  <w14:solidFill>
                    <w14:schemeClr w14:val="tx1"/>
                  </w14:solidFill>
                </w14:textFill>
              </w:rPr>
              <w:t>执行</w:t>
            </w:r>
            <w:r>
              <w:rPr>
                <w:rFonts w:hint="eastAsia" w:ascii="Times New Roman" w:hAnsi="Times New Roman" w:cs="Times New Roman"/>
                <w:color w:val="000000" w:themeColor="text1"/>
                <w:sz w:val="24"/>
                <w:szCs w:val="24"/>
                <w14:textFill>
                  <w14:solidFill>
                    <w14:schemeClr w14:val="tx1"/>
                  </w14:solidFill>
                </w14:textFill>
              </w:rPr>
              <w:t>《挥发性有机物无组织排放控制标准》（GB37822-2019）表A.1</w:t>
            </w:r>
            <w:r>
              <w:rPr>
                <w:rFonts w:hint="eastAsia" w:ascii="Times New Roman" w:hAnsi="Times New Roman" w:cs="Times New Roman"/>
                <w:color w:val="000000" w:themeColor="text1"/>
                <w:sz w:val="24"/>
                <w:szCs w:val="24"/>
                <w:lang w:eastAsia="zh-CN"/>
                <w14:textFill>
                  <w14:solidFill>
                    <w14:schemeClr w14:val="tx1"/>
                  </w14:solidFill>
                </w14:textFill>
              </w:rPr>
              <w:t>标准限值</w:t>
            </w:r>
            <w:r>
              <w:rPr>
                <w:rFonts w:hint="eastAsia" w:cs="Times New Roman"/>
                <w:color w:val="000000" w:themeColor="text1"/>
                <w:sz w:val="24"/>
                <w:szCs w:val="24"/>
                <w:lang w:eastAsia="zh-CN"/>
                <w14:textFill>
                  <w14:solidFill>
                    <w14:schemeClr w14:val="tx1"/>
                  </w14:solidFill>
                </w14:textFill>
              </w:rPr>
              <w:t>。</w:t>
            </w:r>
          </w:p>
          <w:p>
            <w:pPr>
              <w:adjustRightInd w:val="0"/>
              <w:snapToGrid w:val="0"/>
              <w:spacing w:line="360" w:lineRule="auto"/>
              <w:ind w:firstLine="480" w:firstLineChars="200"/>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无组织废气：</w:t>
            </w:r>
            <w:r>
              <w:rPr>
                <w:rFonts w:hint="eastAsia"/>
                <w:color w:val="000000" w:themeColor="text1"/>
                <w:sz w:val="24"/>
                <w:szCs w:val="24"/>
                <w:lang w:eastAsia="zh-CN"/>
                <w14:textFill>
                  <w14:solidFill>
                    <w14:schemeClr w14:val="tx1"/>
                  </w14:solidFill>
                </w14:textFill>
              </w:rPr>
              <w:t>动物饲养、前处理和醇提废气未收集的非甲烷总烃通过车间通风无组织排放，非甲烷总烃厂界无组织排放监控点浓度限值达到《大气污染物综合排放标准》(GB16297-1996)表2中标准要求。</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（3）厂界</w:t>
            </w:r>
            <w:r>
              <w:rPr>
                <w:color w:val="000000" w:themeColor="text1"/>
                <w:sz w:val="24"/>
                <w:szCs w:val="24"/>
                <w14:textFill>
                  <w14:solidFill>
                    <w14:schemeClr w14:val="tx1"/>
                  </w14:solidFill>
                </w14:textFill>
              </w:rPr>
              <w:t>噪声</w:t>
            </w:r>
          </w:p>
          <w:p>
            <w:pPr>
              <w:adjustRightInd w:val="0"/>
              <w:snapToGrid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本次验收监测结果表明，项目厂界四周噪声昼间、夜间测量值均满足</w:t>
            </w:r>
            <w:r>
              <w:rPr>
                <w:rFonts w:hint="eastAsia"/>
                <w:color w:val="000000" w:themeColor="text1"/>
                <w:sz w:val="24"/>
                <w:szCs w:val="24"/>
                <w:lang w:eastAsia="zh-CN"/>
                <w14:textFill>
                  <w14:solidFill>
                    <w14:schemeClr w14:val="tx1"/>
                  </w14:solidFill>
                </w14:textFill>
              </w:rPr>
              <w:t>。厂界噪声达到《工业企业厂界环境噪声排放标准》(GB12348-2008)中</w:t>
            </w:r>
            <w:r>
              <w:rPr>
                <w:rFonts w:hint="eastAsia"/>
                <w:color w:val="000000" w:themeColor="text1"/>
                <w:sz w:val="24"/>
                <w:szCs w:val="24"/>
                <w:lang w:val="en-US" w:eastAsia="zh-CN"/>
                <w14:textFill>
                  <w14:solidFill>
                    <w14:schemeClr w14:val="tx1"/>
                  </w14:solidFill>
                </w14:textFill>
              </w:rPr>
              <w:t>2</w:t>
            </w:r>
            <w:r>
              <w:rPr>
                <w:rFonts w:hint="eastAsia"/>
                <w:color w:val="000000" w:themeColor="text1"/>
                <w:sz w:val="24"/>
                <w:szCs w:val="24"/>
                <w:lang w:eastAsia="zh-CN"/>
                <w14:textFill>
                  <w14:solidFill>
                    <w14:schemeClr w14:val="tx1"/>
                  </w14:solidFill>
                </w14:textFill>
              </w:rPr>
              <w:t>类标准。</w:t>
            </w:r>
          </w:p>
          <w:p>
            <w:pPr>
              <w:widowControl/>
              <w:spacing w:line="360" w:lineRule="auto"/>
              <w:rPr>
                <w:b/>
                <w:color w:val="000000" w:themeColor="text1"/>
                <w:kern w:val="0"/>
                <w:sz w:val="24"/>
                <w:szCs w:val="24"/>
                <w14:textFill>
                  <w14:solidFill>
                    <w14:schemeClr w14:val="tx1"/>
                  </w14:solidFill>
                </w14:textFill>
              </w:rPr>
            </w:pPr>
            <w:r>
              <w:rPr>
                <w:rFonts w:hint="eastAsia"/>
                <w:b/>
                <w:color w:val="000000" w:themeColor="text1"/>
                <w:kern w:val="0"/>
                <w:sz w:val="24"/>
                <w:szCs w:val="24"/>
                <w14:textFill>
                  <w14:solidFill>
                    <w14:schemeClr w14:val="tx1"/>
                  </w14:solidFill>
                </w14:textFill>
              </w:rPr>
              <w:t>9.</w:t>
            </w:r>
            <w:r>
              <w:rPr>
                <w:b/>
                <w:color w:val="000000" w:themeColor="text1"/>
                <w:kern w:val="0"/>
                <w:sz w:val="24"/>
                <w:szCs w:val="24"/>
                <w14:textFill>
                  <w14:solidFill>
                    <w14:schemeClr w14:val="tx1"/>
                  </w14:solidFill>
                </w14:textFill>
              </w:rPr>
              <w:t>3</w:t>
            </w:r>
            <w:r>
              <w:rPr>
                <w:rFonts w:hint="eastAsia"/>
                <w:b/>
                <w:color w:val="000000" w:themeColor="text1"/>
                <w:kern w:val="0"/>
                <w:sz w:val="24"/>
                <w:szCs w:val="24"/>
                <w14:textFill>
                  <w14:solidFill>
                    <w14:schemeClr w14:val="tx1"/>
                  </w14:solidFill>
                </w14:textFill>
              </w:rPr>
              <w:t xml:space="preserve"> 环保标识牌管理</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项目</w:t>
            </w:r>
            <w:r>
              <w:rPr>
                <w:rFonts w:hint="eastAsia"/>
                <w:color w:val="000000" w:themeColor="text1"/>
                <w:sz w:val="24"/>
                <w:szCs w:val="24"/>
                <w14:textFill>
                  <w14:solidFill>
                    <w14:schemeClr w14:val="tx1"/>
                  </w14:solidFill>
                </w14:textFill>
              </w:rPr>
              <w:t>建设</w:t>
            </w:r>
            <w:r>
              <w:rPr>
                <w:color w:val="000000" w:themeColor="text1"/>
                <w:sz w:val="24"/>
                <w:szCs w:val="24"/>
                <w14:textFill>
                  <w14:solidFill>
                    <w14:schemeClr w14:val="tx1"/>
                  </w14:solidFill>
                </w14:textFill>
              </w:rPr>
              <w:t>前进行了环境影响评价，项目在</w:t>
            </w:r>
            <w:r>
              <w:rPr>
                <w:rFonts w:hint="eastAsia"/>
                <w:color w:val="000000" w:themeColor="text1"/>
                <w:sz w:val="24"/>
                <w:szCs w:val="24"/>
                <w14:textFill>
                  <w14:solidFill>
                    <w14:schemeClr w14:val="tx1"/>
                  </w14:solidFill>
                </w14:textFill>
              </w:rPr>
              <w:t>运营期间按照</w:t>
            </w:r>
            <w:r>
              <w:rPr>
                <w:color w:val="000000" w:themeColor="text1"/>
                <w:sz w:val="24"/>
                <w:szCs w:val="24"/>
                <w14:textFill>
                  <w14:solidFill>
                    <w14:schemeClr w14:val="tx1"/>
                  </w14:solidFill>
                </w14:textFill>
              </w:rPr>
              <w:t>国家</w:t>
            </w:r>
            <w:r>
              <w:rPr>
                <w:rFonts w:hint="eastAsia"/>
                <w:color w:val="000000" w:themeColor="text1"/>
                <w:sz w:val="24"/>
                <w:szCs w:val="24"/>
                <w14:textFill>
                  <w14:solidFill>
                    <w14:schemeClr w14:val="tx1"/>
                  </w14:solidFill>
                </w14:textFill>
              </w:rPr>
              <w:t>环保部门</w:t>
            </w:r>
            <w:r>
              <w:rPr>
                <w:color w:val="000000" w:themeColor="text1"/>
                <w:sz w:val="24"/>
                <w:szCs w:val="24"/>
                <w14:textFill>
                  <w14:solidFill>
                    <w14:schemeClr w14:val="tx1"/>
                  </w14:solidFill>
                </w14:textFill>
              </w:rPr>
              <w:t>要求，对污染物排放和存放点均设置了环保标识牌。</w:t>
            </w:r>
          </w:p>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表9-1 项目</w:t>
            </w:r>
            <w:r>
              <w:rPr>
                <w:rFonts w:hint="eastAsia"/>
                <w:b/>
                <w:bCs/>
                <w:color w:val="000000" w:themeColor="text1"/>
                <w:szCs w:val="21"/>
                <w14:textFill>
                  <w14:solidFill>
                    <w14:schemeClr w14:val="tx1"/>
                  </w14:solidFill>
                </w14:textFill>
              </w:rPr>
              <w:t>污染物排放口环保</w:t>
            </w:r>
            <w:r>
              <w:rPr>
                <w:b/>
                <w:bCs/>
                <w:color w:val="000000" w:themeColor="text1"/>
                <w:szCs w:val="21"/>
                <w14:textFill>
                  <w14:solidFill>
                    <w14:schemeClr w14:val="tx1"/>
                  </w14:solidFill>
                </w14:textFill>
              </w:rPr>
              <w:t>标识牌管理</w:t>
            </w:r>
          </w:p>
          <w:tbl>
            <w:tblPr>
              <w:tblStyle w:val="30"/>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54"/>
              <w:gridCol w:w="465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25" w:type="pct"/>
                  <w:vAlign w:val="center"/>
                </w:tcPr>
                <w:p>
                  <w:pPr>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drawing>
                      <wp:inline distT="0" distB="0" distL="114300" distR="114300">
                        <wp:extent cx="2844800" cy="2133600"/>
                        <wp:effectExtent l="0" t="0" r="5080" b="0"/>
                        <wp:docPr id="3" name="图片 3" descr="83777f2fbce754108dc9e4b97ddc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3777f2fbce754108dc9e4b97ddca21"/>
                                <pic:cNvPicPr>
                                  <a:picLocks noChangeAspect="1"/>
                                </pic:cNvPicPr>
                              </pic:nvPicPr>
                              <pic:blipFill>
                                <a:blip r:embed="rId20"/>
                                <a:stretch>
                                  <a:fillRect/>
                                </a:stretch>
                              </pic:blipFill>
                              <pic:spPr>
                                <a:xfrm>
                                  <a:off x="0" y="0"/>
                                  <a:ext cx="2844800" cy="2133600"/>
                                </a:xfrm>
                                <a:prstGeom prst="rect">
                                  <a:avLst/>
                                </a:prstGeom>
                              </pic:spPr>
                            </pic:pic>
                          </a:graphicData>
                        </a:graphic>
                      </wp:inline>
                    </w:drawing>
                  </w:r>
                </w:p>
              </w:tc>
              <w:tc>
                <w:tcPr>
                  <w:tcW w:w="2474" w:type="pct"/>
                  <w:vAlign w:val="center"/>
                </w:tcPr>
                <w:p>
                  <w:pPr>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drawing>
                      <wp:inline distT="0" distB="0" distL="114300" distR="114300">
                        <wp:extent cx="2828925" cy="2121535"/>
                        <wp:effectExtent l="0" t="0" r="5715" b="12065"/>
                        <wp:docPr id="4" name="图片 4" descr="c53c16455576fa7a2e34977b96751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53c16455576fa7a2e34977b96751cd"/>
                                <pic:cNvPicPr>
                                  <a:picLocks noChangeAspect="1"/>
                                </pic:cNvPicPr>
                              </pic:nvPicPr>
                              <pic:blipFill>
                                <a:blip r:embed="rId21"/>
                                <a:stretch>
                                  <a:fillRect/>
                                </a:stretch>
                              </pic:blipFill>
                              <pic:spPr>
                                <a:xfrm>
                                  <a:off x="0" y="0"/>
                                  <a:ext cx="2828925" cy="2121535"/>
                                </a:xfrm>
                                <a:prstGeom prst="rect">
                                  <a:avLst/>
                                </a:prstGeom>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25" w:type="pct"/>
                  <w:vAlign w:val="center"/>
                </w:tcPr>
                <w:p>
                  <w:pPr>
                    <w:jc w:val="center"/>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废水排放口</w:t>
                  </w:r>
                </w:p>
              </w:tc>
              <w:tc>
                <w:tcPr>
                  <w:tcW w:w="2474" w:type="pct"/>
                  <w:vAlign w:val="center"/>
                </w:tcPr>
                <w:p>
                  <w:pPr>
                    <w:jc w:val="center"/>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DA001</w:t>
                  </w:r>
                  <w:r>
                    <w:rPr>
                      <w:rFonts w:ascii="Times New Roman" w:hAnsi="Times New Roman" w:cs="Times New Roman"/>
                      <w:color w:val="000000" w:themeColor="text1"/>
                      <w:kern w:val="0"/>
                      <w:sz w:val="18"/>
                      <w:szCs w:val="18"/>
                      <w14:textFill>
                        <w14:solidFill>
                          <w14:schemeClr w14:val="tx1"/>
                        </w14:solidFill>
                      </w14:textFill>
                    </w:rPr>
                    <w:t>废气排放口</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25" w:type="pct"/>
                  <w:vAlign w:val="center"/>
                </w:tcPr>
                <w:p>
                  <w:pPr>
                    <w:jc w:val="center"/>
                    <w:rPr>
                      <w:rFonts w:hint="eastAsia" w:ascii="Times New Roman" w:hAnsi="Times New Roman" w:eastAsia="宋体" w:cs="Times New Roman"/>
                      <w:color w:val="000000" w:themeColor="text1"/>
                      <w:kern w:val="0"/>
                      <w:sz w:val="18"/>
                      <w:szCs w:val="18"/>
                      <w:lang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eastAsia="zh-CN"/>
                      <w14:textFill>
                        <w14:solidFill>
                          <w14:schemeClr w14:val="tx1"/>
                        </w14:solidFill>
                      </w14:textFill>
                    </w:rPr>
                    <w:drawing>
                      <wp:inline distT="0" distB="0" distL="114300" distR="114300">
                        <wp:extent cx="2888615" cy="2166620"/>
                        <wp:effectExtent l="0" t="0" r="6985" b="12700"/>
                        <wp:docPr id="9" name="图片 9" descr="905d631ae7939e663fb3e929a1715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05d631ae7939e663fb3e929a1715cb"/>
                                <pic:cNvPicPr>
                                  <a:picLocks noChangeAspect="1"/>
                                </pic:cNvPicPr>
                              </pic:nvPicPr>
                              <pic:blipFill>
                                <a:blip r:embed="rId22"/>
                                <a:stretch>
                                  <a:fillRect/>
                                </a:stretch>
                              </pic:blipFill>
                              <pic:spPr>
                                <a:xfrm>
                                  <a:off x="0" y="0"/>
                                  <a:ext cx="2888615" cy="2166620"/>
                                </a:xfrm>
                                <a:prstGeom prst="rect">
                                  <a:avLst/>
                                </a:prstGeom>
                              </pic:spPr>
                            </pic:pic>
                          </a:graphicData>
                        </a:graphic>
                      </wp:inline>
                    </w:drawing>
                  </w:r>
                </w:p>
              </w:tc>
              <w:tc>
                <w:tcPr>
                  <w:tcW w:w="2474" w:type="pct"/>
                  <w:vAlign w:val="center"/>
                </w:tcPr>
                <w:p>
                  <w:pPr>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drawing>
                      <wp:inline distT="0" distB="0" distL="114300" distR="114300">
                        <wp:extent cx="2814955" cy="2111375"/>
                        <wp:effectExtent l="0" t="0" r="4445" b="6985"/>
                        <wp:docPr id="7" name="图片 7" descr="2577c7dce170620a879474080af5e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577c7dce170620a879474080af5ec2"/>
                                <pic:cNvPicPr>
                                  <a:picLocks noChangeAspect="1"/>
                                </pic:cNvPicPr>
                              </pic:nvPicPr>
                              <pic:blipFill>
                                <a:blip r:embed="rId23"/>
                                <a:stretch>
                                  <a:fillRect/>
                                </a:stretch>
                              </pic:blipFill>
                              <pic:spPr>
                                <a:xfrm>
                                  <a:off x="0" y="0"/>
                                  <a:ext cx="2814955" cy="2111375"/>
                                </a:xfrm>
                                <a:prstGeom prst="rect">
                                  <a:avLst/>
                                </a:prstGeom>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25" w:type="pct"/>
                  <w:vAlign w:val="center"/>
                </w:tcPr>
                <w:p>
                  <w:pPr>
                    <w:jc w:val="center"/>
                    <w:rPr>
                      <w:rFonts w:hint="default" w:ascii="Times New Roman" w:hAnsi="Times New Roman" w:cs="Times New Roman"/>
                      <w:color w:val="000000" w:themeColor="text1"/>
                      <w:kern w:val="0"/>
                      <w:sz w:val="18"/>
                      <w:szCs w:val="18"/>
                      <w:lang w:val="en-US"/>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DA002废气排气口</w:t>
                  </w:r>
                </w:p>
              </w:tc>
              <w:tc>
                <w:tcPr>
                  <w:tcW w:w="2474" w:type="pct"/>
                  <w:vAlign w:val="center"/>
                </w:tcPr>
                <w:p>
                  <w:pPr>
                    <w:jc w:val="center"/>
                    <w:rPr>
                      <w:rFonts w:hint="eastAsia" w:cs="Times New Roman"/>
                      <w:color w:val="000000" w:themeColor="text1"/>
                      <w:kern w:val="0"/>
                      <w:sz w:val="18"/>
                      <w:szCs w:val="18"/>
                      <w:lang w:val="en-US" w:eastAsia="zh-CN"/>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一般固废暂存间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5" w:hRule="atLeast"/>
                <w:jc w:val="center"/>
              </w:trPr>
              <w:tc>
                <w:tcPr>
                  <w:tcW w:w="2525" w:type="pct"/>
                  <w:vAlign w:val="center"/>
                </w:tcPr>
                <w:p>
                  <w:pPr>
                    <w:jc w:val="center"/>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eastAsia" w:ascii="Times New Roman" w:hAnsi="Times New Roman" w:eastAsia="宋体" w:cs="Times New Roman"/>
                      <w:color w:val="000000" w:themeColor="text1"/>
                      <w:sz w:val="18"/>
                      <w:szCs w:val="18"/>
                      <w:lang w:eastAsia="zh-CN"/>
                      <w14:textFill>
                        <w14:solidFill>
                          <w14:schemeClr w14:val="tx1"/>
                        </w14:solidFill>
                      </w14:textFill>
                    </w:rPr>
                    <w:drawing>
                      <wp:inline distT="0" distB="0" distL="114300" distR="114300">
                        <wp:extent cx="2816225" cy="2112010"/>
                        <wp:effectExtent l="0" t="0" r="3175" b="6350"/>
                        <wp:docPr id="6" name="图片 6" descr="9c5e120fdce434fec92201fac1f9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c5e120fdce434fec92201fac1f9814"/>
                                <pic:cNvPicPr>
                                  <a:picLocks noChangeAspect="1"/>
                                </pic:cNvPicPr>
                              </pic:nvPicPr>
                              <pic:blipFill>
                                <a:blip r:embed="rId24"/>
                                <a:stretch>
                                  <a:fillRect/>
                                </a:stretch>
                              </pic:blipFill>
                              <pic:spPr>
                                <a:xfrm>
                                  <a:off x="0" y="0"/>
                                  <a:ext cx="2816225" cy="2112010"/>
                                </a:xfrm>
                                <a:prstGeom prst="rect">
                                  <a:avLst/>
                                </a:prstGeom>
                              </pic:spPr>
                            </pic:pic>
                          </a:graphicData>
                        </a:graphic>
                      </wp:inline>
                    </w:drawing>
                  </w:r>
                </w:p>
              </w:tc>
              <w:tc>
                <w:tcPr>
                  <w:tcW w:w="2474" w:type="pct"/>
                  <w:vAlign w:val="center"/>
                </w:tcPr>
                <w:p>
                  <w:pPr>
                    <w:jc w:val="center"/>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eastAsia" w:ascii="Times New Roman" w:hAnsi="Times New Roman" w:eastAsia="宋体" w:cs="Times New Roman"/>
                      <w:color w:val="000000" w:themeColor="text1"/>
                      <w:sz w:val="18"/>
                      <w:szCs w:val="18"/>
                      <w:lang w:eastAsia="zh-CN"/>
                      <w14:textFill>
                        <w14:solidFill>
                          <w14:schemeClr w14:val="tx1"/>
                        </w14:solidFill>
                      </w14:textFill>
                    </w:rPr>
                    <w:drawing>
                      <wp:inline distT="0" distB="0" distL="114300" distR="114300">
                        <wp:extent cx="2800985" cy="2100580"/>
                        <wp:effectExtent l="0" t="0" r="3175" b="2540"/>
                        <wp:docPr id="8" name="图片 8" descr="ee3026e3ecf943cde55395b08a22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e3026e3ecf943cde55395b08a22c82"/>
                                <pic:cNvPicPr>
                                  <a:picLocks noChangeAspect="1"/>
                                </pic:cNvPicPr>
                              </pic:nvPicPr>
                              <pic:blipFill>
                                <a:blip r:embed="rId25"/>
                                <a:stretch>
                                  <a:fillRect/>
                                </a:stretch>
                              </pic:blipFill>
                              <pic:spPr>
                                <a:xfrm>
                                  <a:off x="0" y="0"/>
                                  <a:ext cx="2800985" cy="2100580"/>
                                </a:xfrm>
                                <a:prstGeom prst="rect">
                                  <a:avLst/>
                                </a:prstGeom>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25" w:type="pct"/>
                  <w:vAlign w:val="center"/>
                </w:tcPr>
                <w:p>
                  <w:pPr>
                    <w:jc w:val="center"/>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eastAsia" w:cs="Times New Roman"/>
                      <w:color w:val="000000" w:themeColor="text1"/>
                      <w:kern w:val="0"/>
                      <w:sz w:val="18"/>
                      <w:szCs w:val="18"/>
                      <w:lang w:eastAsia="zh-CN"/>
                      <w14:textFill>
                        <w14:solidFill>
                          <w14:schemeClr w14:val="tx1"/>
                        </w14:solidFill>
                      </w14:textFill>
                    </w:rPr>
                    <w:t>危废</w:t>
                  </w:r>
                  <w:r>
                    <w:rPr>
                      <w:rFonts w:ascii="Times New Roman" w:hAnsi="Times New Roman" w:cs="Times New Roman"/>
                      <w:color w:val="000000" w:themeColor="text1"/>
                      <w:kern w:val="0"/>
                      <w:sz w:val="18"/>
                      <w:szCs w:val="18"/>
                      <w14:textFill>
                        <w14:solidFill>
                          <w14:schemeClr w14:val="tx1"/>
                        </w14:solidFill>
                      </w14:textFill>
                    </w:rPr>
                    <w:t>间</w:t>
                  </w:r>
                </w:p>
              </w:tc>
              <w:tc>
                <w:tcPr>
                  <w:tcW w:w="2474" w:type="pct"/>
                  <w:vAlign w:val="center"/>
                </w:tcPr>
                <w:p>
                  <w:pPr>
                    <w:jc w:val="center"/>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eastAsia" w:cs="Times New Roman"/>
                      <w:color w:val="000000" w:themeColor="text1"/>
                      <w:kern w:val="0"/>
                      <w:sz w:val="18"/>
                      <w:szCs w:val="18"/>
                      <w:lang w:eastAsia="zh-CN"/>
                      <w14:textFill>
                        <w14:solidFill>
                          <w14:schemeClr w14:val="tx1"/>
                        </w14:solidFill>
                      </w14:textFill>
                    </w:rPr>
                    <w:t>噪声排放源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25" w:type="pct"/>
                  <w:vAlign w:val="center"/>
                </w:tcPr>
                <w:p>
                  <w:pPr>
                    <w:jc w:val="center"/>
                    <w:rPr>
                      <w:rFonts w:hint="eastAsia" w:eastAsia="宋体" w:cs="Times New Roman"/>
                      <w:color w:val="000000" w:themeColor="text1"/>
                      <w:kern w:val="0"/>
                      <w:sz w:val="18"/>
                      <w:szCs w:val="18"/>
                      <w:lang w:eastAsia="zh-CN"/>
                      <w14:textFill>
                        <w14:solidFill>
                          <w14:schemeClr w14:val="tx1"/>
                        </w14:solidFill>
                      </w14:textFill>
                    </w:rPr>
                  </w:pPr>
                  <w:r>
                    <w:rPr>
                      <w:rFonts w:hint="eastAsia" w:eastAsia="宋体" w:cs="Times New Roman"/>
                      <w:color w:val="000000" w:themeColor="text1"/>
                      <w:kern w:val="0"/>
                      <w:sz w:val="18"/>
                      <w:szCs w:val="18"/>
                      <w:lang w:eastAsia="zh-CN"/>
                      <w14:textFill>
                        <w14:solidFill>
                          <w14:schemeClr w14:val="tx1"/>
                        </w14:solidFill>
                      </w14:textFill>
                    </w:rPr>
                    <w:drawing>
                      <wp:inline distT="0" distB="0" distL="114300" distR="114300">
                        <wp:extent cx="2857500" cy="3810000"/>
                        <wp:effectExtent l="0" t="0" r="7620" b="0"/>
                        <wp:docPr id="11" name="图片 11" descr="PH在线检测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PH在线检测仪"/>
                                <pic:cNvPicPr>
                                  <a:picLocks noChangeAspect="1"/>
                                </pic:cNvPicPr>
                              </pic:nvPicPr>
                              <pic:blipFill>
                                <a:blip r:embed="rId26"/>
                                <a:stretch>
                                  <a:fillRect/>
                                </a:stretch>
                              </pic:blipFill>
                              <pic:spPr>
                                <a:xfrm>
                                  <a:off x="0" y="0"/>
                                  <a:ext cx="2857500" cy="3810000"/>
                                </a:xfrm>
                                <a:prstGeom prst="rect">
                                  <a:avLst/>
                                </a:prstGeom>
                              </pic:spPr>
                            </pic:pic>
                          </a:graphicData>
                        </a:graphic>
                      </wp:inline>
                    </w:drawing>
                  </w:r>
                </w:p>
              </w:tc>
              <w:tc>
                <w:tcPr>
                  <w:tcW w:w="2474" w:type="pct"/>
                  <w:vAlign w:val="center"/>
                </w:tcPr>
                <w:p>
                  <w:pPr>
                    <w:jc w:val="center"/>
                    <w:rPr>
                      <w:rFonts w:hint="eastAsia"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lang w:eastAsia="zh-CN"/>
                      <w14:textFill>
                        <w14:solidFill>
                          <w14:schemeClr w14:val="tx1"/>
                        </w14:solidFill>
                      </w14:textFill>
                    </w:rPr>
                    <w:drawing>
                      <wp:inline distT="0" distB="0" distL="114300" distR="114300">
                        <wp:extent cx="2819400" cy="3759200"/>
                        <wp:effectExtent l="0" t="0" r="0" b="5080"/>
                        <wp:docPr id="13" name="图片 13" descr="废水处理设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废水处理设施"/>
                                <pic:cNvPicPr>
                                  <a:picLocks noChangeAspect="1"/>
                                </pic:cNvPicPr>
                              </pic:nvPicPr>
                              <pic:blipFill>
                                <a:blip r:embed="rId27"/>
                                <a:stretch>
                                  <a:fillRect/>
                                </a:stretch>
                              </pic:blipFill>
                              <pic:spPr>
                                <a:xfrm>
                                  <a:off x="0" y="0"/>
                                  <a:ext cx="2819400" cy="3759200"/>
                                </a:xfrm>
                                <a:prstGeom prst="rect">
                                  <a:avLst/>
                                </a:prstGeom>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25"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PH在线检测仪</w:t>
                  </w:r>
                </w:p>
              </w:tc>
              <w:tc>
                <w:tcPr>
                  <w:tcW w:w="2474" w:type="pct"/>
                  <w:vAlign w:val="center"/>
                </w:tcPr>
                <w:p>
                  <w:pPr>
                    <w:jc w:val="center"/>
                    <w:rPr>
                      <w:rFonts w:hint="eastAsia"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lang w:eastAsia="zh-CN"/>
                      <w14:textFill>
                        <w14:solidFill>
                          <w14:schemeClr w14:val="tx1"/>
                        </w14:solidFill>
                      </w14:textFill>
                    </w:rPr>
                    <w:t>废水处理设施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25"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drawing>
                      <wp:inline distT="0" distB="0" distL="114300" distR="114300">
                        <wp:extent cx="2872740" cy="2155825"/>
                        <wp:effectExtent l="0" t="0" r="7620" b="8255"/>
                        <wp:docPr id="14" name="图片 14" descr="通风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通风橱"/>
                                <pic:cNvPicPr>
                                  <a:picLocks noChangeAspect="1"/>
                                </pic:cNvPicPr>
                              </pic:nvPicPr>
                              <pic:blipFill>
                                <a:blip r:embed="rId28"/>
                                <a:stretch>
                                  <a:fillRect/>
                                </a:stretch>
                              </pic:blipFill>
                              <pic:spPr>
                                <a:xfrm>
                                  <a:off x="0" y="0"/>
                                  <a:ext cx="2872740" cy="2155825"/>
                                </a:xfrm>
                                <a:prstGeom prst="rect">
                                  <a:avLst/>
                                </a:prstGeom>
                              </pic:spPr>
                            </pic:pic>
                          </a:graphicData>
                        </a:graphic>
                      </wp:inline>
                    </w:drawing>
                  </w:r>
                </w:p>
              </w:tc>
              <w:tc>
                <w:tcPr>
                  <w:tcW w:w="2474" w:type="pct"/>
                  <w:vAlign w:val="center"/>
                </w:tcPr>
                <w:p>
                  <w:pPr>
                    <w:jc w:val="center"/>
                    <w:rPr>
                      <w:rFonts w:hint="eastAsia"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lang w:eastAsia="zh-CN"/>
                      <w14:textFill>
                        <w14:solidFill>
                          <w14:schemeClr w14:val="tx1"/>
                        </w14:solidFill>
                      </w14:textFill>
                    </w:rPr>
                    <w:drawing>
                      <wp:inline distT="0" distB="0" distL="114300" distR="114300">
                        <wp:extent cx="2820670" cy="2116455"/>
                        <wp:effectExtent l="0" t="0" r="13970" b="1905"/>
                        <wp:docPr id="15" name="图片 15" descr="大型仪器综合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大型仪器综合室"/>
                                <pic:cNvPicPr>
                                  <a:picLocks noChangeAspect="1"/>
                                </pic:cNvPicPr>
                              </pic:nvPicPr>
                              <pic:blipFill>
                                <a:blip r:embed="rId29"/>
                                <a:stretch>
                                  <a:fillRect/>
                                </a:stretch>
                              </pic:blipFill>
                              <pic:spPr>
                                <a:xfrm>
                                  <a:off x="0" y="0"/>
                                  <a:ext cx="2820670" cy="2116455"/>
                                </a:xfrm>
                                <a:prstGeom prst="rect">
                                  <a:avLst/>
                                </a:prstGeom>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25"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通风橱</w:t>
                  </w:r>
                </w:p>
              </w:tc>
              <w:tc>
                <w:tcPr>
                  <w:tcW w:w="2474" w:type="pct"/>
                  <w:vAlign w:val="center"/>
                </w:tcPr>
                <w:p>
                  <w:pPr>
                    <w:jc w:val="center"/>
                    <w:rPr>
                      <w:rFonts w:hint="eastAsia"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lang w:eastAsia="zh-CN"/>
                      <w14:textFill>
                        <w14:solidFill>
                          <w14:schemeClr w14:val="tx1"/>
                        </w14:solidFill>
                      </w14:textFill>
                    </w:rPr>
                    <w:t>收集设施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vAlign w:val="center"/>
                </w:tcPr>
                <w:p>
                  <w:pPr>
                    <w:jc w:val="center"/>
                    <w:rPr>
                      <w:rFonts w:hint="eastAsia" w:cs="Times New Roman"/>
                      <w:color w:val="000000" w:themeColor="text1"/>
                      <w:sz w:val="18"/>
                      <w:szCs w:val="18"/>
                      <w:lang w:eastAsia="zh-CN"/>
                      <w14:textFill>
                        <w14:solidFill>
                          <w14:schemeClr w14:val="tx1"/>
                        </w14:solidFill>
                      </w14:textFill>
                    </w:rPr>
                  </w:pPr>
                  <w:r>
                    <w:rPr>
                      <w:rFonts w:hint="eastAsia" w:ascii="Times New Roman" w:hAnsi="Times New Roman" w:eastAsia="宋体" w:cs="Times New Roman"/>
                      <w:color w:val="000000" w:themeColor="text1"/>
                      <w:sz w:val="18"/>
                      <w:szCs w:val="18"/>
                      <w:lang w:eastAsia="zh-CN"/>
                      <w14:textFill>
                        <w14:solidFill>
                          <w14:schemeClr w14:val="tx1"/>
                        </w14:solidFill>
                      </w14:textFill>
                    </w:rPr>
                    <w:drawing>
                      <wp:inline distT="0" distB="0" distL="114300" distR="114300">
                        <wp:extent cx="2910840" cy="1938655"/>
                        <wp:effectExtent l="0" t="0" r="0" b="12065"/>
                        <wp:docPr id="10" name="图片 10" descr="ebe4e777f2b8f6278b2604038227b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be4e777f2b8f6278b2604038227bbb"/>
                                <pic:cNvPicPr>
                                  <a:picLocks noChangeAspect="1"/>
                                </pic:cNvPicPr>
                              </pic:nvPicPr>
                              <pic:blipFill>
                                <a:blip r:embed="rId30"/>
                                <a:srcRect l="8115" r="7414"/>
                                <a:stretch>
                                  <a:fillRect/>
                                </a:stretch>
                              </pic:blipFill>
                              <pic:spPr>
                                <a:xfrm>
                                  <a:off x="0" y="0"/>
                                  <a:ext cx="2910840" cy="1938655"/>
                                </a:xfrm>
                                <a:prstGeom prst="rect">
                                  <a:avLst/>
                                </a:prstGeom>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vAlign w:val="center"/>
                </w:tcPr>
                <w:p>
                  <w:pPr>
                    <w:jc w:val="center"/>
                    <w:rPr>
                      <w:rFonts w:hint="eastAsia" w:cs="Times New Roman"/>
                      <w:color w:val="000000" w:themeColor="text1"/>
                      <w:sz w:val="18"/>
                      <w:szCs w:val="18"/>
                      <w:lang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危废间内</w:t>
                  </w:r>
                </w:p>
              </w:tc>
            </w:tr>
          </w:tbl>
          <w:p>
            <w:pPr>
              <w:widowControl/>
              <w:spacing w:line="360" w:lineRule="auto"/>
              <w:rPr>
                <w:rFonts w:hint="eastAsia" w:ascii="Times New Roman" w:hAnsi="Times New Roman" w:eastAsia="宋体" w:cs="Times New Roman"/>
                <w:b/>
                <w:color w:val="000000" w:themeColor="text1"/>
                <w:kern w:val="0"/>
                <w:sz w:val="24"/>
                <w:szCs w:val="24"/>
                <w14:textFill>
                  <w14:solidFill>
                    <w14:schemeClr w14:val="tx1"/>
                  </w14:solidFill>
                </w14:textFill>
              </w:rPr>
            </w:pPr>
            <w:r>
              <w:rPr>
                <w:rFonts w:hint="eastAsia" w:ascii="Times New Roman" w:hAnsi="Times New Roman" w:eastAsia="宋体" w:cs="Times New Roman"/>
                <w:b/>
                <w:color w:val="000000" w:themeColor="text1"/>
                <w:kern w:val="0"/>
                <w:sz w:val="24"/>
                <w:szCs w:val="24"/>
                <w:lang w:val="en-US" w:eastAsia="zh-CN"/>
                <w14:textFill>
                  <w14:solidFill>
                    <w14:schemeClr w14:val="tx1"/>
                  </w14:solidFill>
                </w14:textFill>
              </w:rPr>
              <w:t>9.4</w:t>
            </w:r>
            <w:r>
              <w:rPr>
                <w:rFonts w:hint="eastAsia" w:ascii="Times New Roman" w:hAnsi="Times New Roman" w:eastAsia="宋体" w:cs="Times New Roman"/>
                <w:b/>
                <w:color w:val="000000" w:themeColor="text1"/>
                <w:kern w:val="0"/>
                <w:sz w:val="24"/>
                <w:szCs w:val="24"/>
                <w14:textFill>
                  <w14:solidFill>
                    <w14:schemeClr w14:val="tx1"/>
                  </w14:solidFill>
                </w14:textFill>
              </w:rPr>
              <w:t>验收结论</w:t>
            </w:r>
          </w:p>
          <w:p>
            <w:pPr>
              <w:widowControl/>
              <w:spacing w:line="360" w:lineRule="auto"/>
              <w:ind w:firstLine="480" w:firstLineChars="200"/>
              <w:rPr>
                <w:rFonts w:hint="eastAsia"/>
                <w:b w:val="0"/>
                <w:bCs/>
                <w:color w:val="000000" w:themeColor="text1"/>
                <w:kern w:val="0"/>
                <w:sz w:val="24"/>
                <w:szCs w:val="24"/>
                <w14:textFill>
                  <w14:solidFill>
                    <w14:schemeClr w14:val="tx1"/>
                  </w14:solidFill>
                </w14:textFill>
              </w:rPr>
            </w:pPr>
            <w:r>
              <w:rPr>
                <w:rFonts w:hint="eastAsia"/>
                <w:b w:val="0"/>
                <w:bCs/>
                <w:color w:val="000000" w:themeColor="text1"/>
                <w:kern w:val="0"/>
                <w:sz w:val="24"/>
                <w:szCs w:val="24"/>
                <w:lang w:eastAsia="zh-CN"/>
                <w14:textFill>
                  <w14:solidFill>
                    <w14:schemeClr w14:val="tx1"/>
                  </w14:solidFill>
                </w14:textFill>
              </w:rPr>
              <w:t>项目</w:t>
            </w:r>
            <w:r>
              <w:rPr>
                <w:rFonts w:hint="eastAsia"/>
                <w:b w:val="0"/>
                <w:bCs/>
                <w:color w:val="000000" w:themeColor="text1"/>
                <w:kern w:val="0"/>
                <w:sz w:val="24"/>
                <w:szCs w:val="24"/>
                <w14:textFill>
                  <w14:solidFill>
                    <w14:schemeClr w14:val="tx1"/>
                  </w14:solidFill>
                </w14:textFill>
              </w:rPr>
              <w:t>验收监测期间，该工程外排的废水、废气、厂界噪声均符合相应标准限值的要求，固体废物得到妥善处理，落实了环评批复的要求。环保措施可行，项目建设至今未接到污染投诉。</w:t>
            </w:r>
          </w:p>
          <w:p>
            <w:pPr>
              <w:widowControl/>
              <w:spacing w:line="360" w:lineRule="auto"/>
              <w:ind w:firstLine="480" w:firstLineChars="200"/>
              <w:rPr>
                <w:rFonts w:hint="eastAsia"/>
                <w:b w:val="0"/>
                <w:bCs/>
                <w:color w:val="000000" w:themeColor="text1"/>
                <w:kern w:val="0"/>
                <w:sz w:val="24"/>
                <w:szCs w:val="24"/>
                <w14:textFill>
                  <w14:solidFill>
                    <w14:schemeClr w14:val="tx1"/>
                  </w14:solidFill>
                </w14:textFill>
              </w:rPr>
            </w:pPr>
            <w:r>
              <w:rPr>
                <w:rFonts w:hint="eastAsia"/>
                <w:b w:val="0"/>
                <w:bCs/>
                <w:color w:val="000000" w:themeColor="text1"/>
                <w:kern w:val="0"/>
                <w:sz w:val="24"/>
                <w:szCs w:val="24"/>
                <w14:textFill>
                  <w14:solidFill>
                    <w14:schemeClr w14:val="tx1"/>
                  </w14:solidFill>
                </w14:textFill>
              </w:rPr>
              <w:t>本项目达到了建设项目竣工环境保护验收的要求，具备申请竣工环境保护验收的条件，建议通过项目竣工环境保护验收。</w:t>
            </w:r>
          </w:p>
          <w:p>
            <w:pPr>
              <w:widowControl/>
              <w:spacing w:line="360" w:lineRule="auto"/>
              <w:rPr>
                <w:b/>
                <w:color w:val="000000" w:themeColor="text1"/>
                <w:kern w:val="0"/>
                <w:sz w:val="24"/>
                <w:szCs w:val="24"/>
                <w14:textFill>
                  <w14:solidFill>
                    <w14:schemeClr w14:val="tx1"/>
                  </w14:solidFill>
                </w14:textFill>
              </w:rPr>
            </w:pPr>
            <w:r>
              <w:rPr>
                <w:rFonts w:hint="eastAsia"/>
                <w:b/>
                <w:color w:val="000000" w:themeColor="text1"/>
                <w:kern w:val="0"/>
                <w:sz w:val="24"/>
                <w:szCs w:val="24"/>
                <w:lang w:val="en-US" w:eastAsia="zh-CN"/>
                <w14:textFill>
                  <w14:solidFill>
                    <w14:schemeClr w14:val="tx1"/>
                  </w14:solidFill>
                </w14:textFill>
              </w:rPr>
              <w:t>9.5</w:t>
            </w:r>
            <w:r>
              <w:rPr>
                <w:b/>
                <w:color w:val="000000" w:themeColor="text1"/>
                <w:kern w:val="0"/>
                <w:sz w:val="24"/>
                <w:szCs w:val="24"/>
                <w14:textFill>
                  <w14:solidFill>
                    <w14:schemeClr w14:val="tx1"/>
                  </w14:solidFill>
                </w14:textFill>
              </w:rPr>
              <w:t>建议</w:t>
            </w:r>
            <w:r>
              <w:rPr>
                <w:rFonts w:hint="eastAsia"/>
                <w:b/>
                <w:color w:val="000000" w:themeColor="text1"/>
                <w:kern w:val="0"/>
                <w:sz w:val="24"/>
                <w:szCs w:val="24"/>
                <w14:textFill>
                  <w14:solidFill>
                    <w14:schemeClr w14:val="tx1"/>
                  </w14:solidFill>
                </w14:textFill>
              </w:rPr>
              <w:t>：</w:t>
            </w:r>
          </w:p>
          <w:p>
            <w:pPr>
              <w:numPr>
                <w:ilvl w:val="0"/>
                <w:numId w:val="3"/>
              </w:numPr>
              <w:adjustRightInd w:val="0"/>
              <w:snapToGrid w:val="0"/>
              <w:spacing w:line="360" w:lineRule="auto"/>
              <w:ind w:firstLine="480" w:firstLineChars="200"/>
              <w:rPr>
                <w:rFonts w:hint="eastAsia" w:eastAsia="宋体"/>
                <w:color w:val="000000" w:themeColor="text1"/>
                <w:kern w:val="0"/>
                <w:sz w:val="24"/>
                <w:szCs w:val="24"/>
                <w:lang w:eastAsia="zh-CN"/>
                <w14:textFill>
                  <w14:solidFill>
                    <w14:schemeClr w14:val="tx1"/>
                  </w14:solidFill>
                </w14:textFill>
              </w:rPr>
            </w:pPr>
            <w:r>
              <w:rPr>
                <w:rFonts w:hint="eastAsia" w:eastAsia="宋体"/>
                <w:color w:val="000000" w:themeColor="text1"/>
                <w:kern w:val="0"/>
                <w:sz w:val="24"/>
                <w:szCs w:val="24"/>
                <w:lang w:eastAsia="zh-CN"/>
                <w14:textFill>
                  <w14:solidFill>
                    <w14:schemeClr w14:val="tx1"/>
                  </w14:solidFill>
                </w14:textFill>
              </w:rPr>
              <w:t>加强生产管理，健全治理设施台账，做好环评和批复要求的各项环保设施的维护检修及正常运行。</w:t>
            </w:r>
          </w:p>
          <w:p>
            <w:pPr>
              <w:numPr>
                <w:ilvl w:val="0"/>
                <w:numId w:val="3"/>
              </w:numPr>
              <w:adjustRightInd w:val="0"/>
              <w:snapToGrid w:val="0"/>
              <w:spacing w:line="360" w:lineRule="auto"/>
              <w:ind w:firstLine="480" w:firstLineChars="200"/>
              <w:rPr>
                <w:rFonts w:hint="eastAsia" w:eastAsia="宋体"/>
                <w:color w:val="000000" w:themeColor="text1"/>
                <w:kern w:val="0"/>
                <w:sz w:val="24"/>
                <w:szCs w:val="24"/>
                <w:lang w:eastAsia="zh-CN"/>
                <w14:textFill>
                  <w14:solidFill>
                    <w14:schemeClr w14:val="tx1"/>
                  </w14:solidFill>
                </w14:textFill>
              </w:rPr>
            </w:pPr>
            <w:r>
              <w:rPr>
                <w:rFonts w:hint="eastAsia" w:eastAsia="宋体"/>
                <w:color w:val="000000" w:themeColor="text1"/>
                <w:kern w:val="0"/>
                <w:sz w:val="24"/>
                <w:szCs w:val="24"/>
                <w:lang w:eastAsia="zh-CN"/>
                <w14:textFill>
                  <w14:solidFill>
                    <w14:schemeClr w14:val="tx1"/>
                  </w14:solidFill>
                </w14:textFill>
              </w:rPr>
              <w:t>严格执行环保“三同时”制度，定期对各类环保设施进行检修维护，确保各类污染物长期稳定达标排放，并作好长效环境保护管理工作。</w:t>
            </w:r>
          </w:p>
          <w:p>
            <w:pPr>
              <w:adjustRightInd w:val="0"/>
              <w:snapToGrid w:val="0"/>
              <w:spacing w:line="360" w:lineRule="auto"/>
              <w:ind w:firstLine="480" w:firstLineChars="200"/>
              <w:rPr>
                <w:rFonts w:hint="eastAsia" w:eastAsia="宋体"/>
                <w:color w:val="000000" w:themeColor="text1"/>
                <w:kern w:val="0"/>
                <w:sz w:val="24"/>
                <w:szCs w:val="24"/>
                <w:lang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3</w:t>
            </w:r>
            <w:r>
              <w:rPr>
                <w:rFonts w:hint="eastAsia" w:eastAsia="宋体"/>
                <w:color w:val="000000" w:themeColor="text1"/>
                <w:kern w:val="0"/>
                <w:sz w:val="24"/>
                <w:szCs w:val="24"/>
                <w:lang w:eastAsia="zh-CN"/>
                <w14:textFill>
                  <w14:solidFill>
                    <w14:schemeClr w14:val="tx1"/>
                  </w14:solidFill>
                </w14:textFill>
              </w:rPr>
              <w:t>、根据现场踏勘发现，一般固体废物堆放较散乱，建议企业对生活垃圾进行集中堆放，定期清理，防止对周边环境产生污染。</w:t>
            </w:r>
          </w:p>
          <w:p>
            <w:pPr>
              <w:adjustRightInd w:val="0"/>
              <w:snapToGrid w:val="0"/>
              <w:spacing w:line="360" w:lineRule="auto"/>
              <w:ind w:firstLine="480" w:firstLineChars="200"/>
              <w:rPr>
                <w:rFonts w:hint="default" w:eastAsia="宋体"/>
                <w:color w:val="000000" w:themeColor="text1"/>
                <w:kern w:val="0"/>
                <w:sz w:val="24"/>
                <w:szCs w:val="24"/>
                <w:lang w:val="en-US"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4</w:t>
            </w:r>
            <w:r>
              <w:rPr>
                <w:rFonts w:hint="eastAsia" w:eastAsia="宋体"/>
                <w:color w:val="000000" w:themeColor="text1"/>
                <w:kern w:val="0"/>
                <w:sz w:val="24"/>
                <w:szCs w:val="24"/>
                <w:lang w:eastAsia="zh-CN"/>
                <w14:textFill>
                  <w14:solidFill>
                    <w14:schemeClr w14:val="tx1"/>
                  </w14:solidFill>
                </w14:textFill>
              </w:rPr>
              <w:t>、对员工进行经常性的环保教育和培训，提高员工的环保意识和操作技能。</w:t>
            </w:r>
          </w:p>
          <w:p>
            <w:pPr>
              <w:adjustRightInd w:val="0"/>
              <w:snapToGrid w:val="0"/>
              <w:spacing w:line="360" w:lineRule="auto"/>
              <w:ind w:firstLine="480" w:firstLineChars="200"/>
              <w:rPr>
                <w:rFonts w:hint="eastAsia" w:eastAsia="宋体"/>
                <w:color w:val="000000" w:themeColor="text1"/>
                <w:kern w:val="0"/>
                <w:sz w:val="24"/>
                <w:szCs w:val="24"/>
                <w:lang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5</w:t>
            </w:r>
            <w:r>
              <w:rPr>
                <w:rFonts w:hint="eastAsia" w:eastAsia="宋体"/>
                <w:color w:val="000000" w:themeColor="text1"/>
                <w:kern w:val="0"/>
                <w:sz w:val="24"/>
                <w:szCs w:val="24"/>
                <w:lang w:eastAsia="zh-CN"/>
                <w14:textFill>
                  <w14:solidFill>
                    <w14:schemeClr w14:val="tx1"/>
                  </w14:solidFill>
                </w14:textFill>
              </w:rPr>
              <w:t>、定期开展环境风险应急演练，防止突发性环境风险事故发生。</w:t>
            </w:r>
          </w:p>
        </w:tc>
      </w:tr>
    </w:tbl>
    <w:p>
      <w:pPr>
        <w:ind w:firstLine="360" w:firstLineChars="200"/>
        <w:rPr>
          <w:color w:val="000000" w:themeColor="text1"/>
          <w:sz w:val="18"/>
          <w:szCs w:val="18"/>
          <w14:textFill>
            <w14:solidFill>
              <w14:schemeClr w14:val="tx1"/>
            </w14:solidFill>
          </w14:textFill>
        </w:rPr>
      </w:pPr>
    </w:p>
    <w:p>
      <w:pPr>
        <w:tabs>
          <w:tab w:val="left" w:pos="502"/>
        </w:tabs>
        <w:rPr>
          <w:color w:val="000000" w:themeColor="text1"/>
          <w:sz w:val="18"/>
          <w:szCs w:val="18"/>
          <w14:textFill>
            <w14:solidFill>
              <w14:schemeClr w14:val="tx1"/>
            </w14:solidFill>
          </w14:textFill>
        </w:rPr>
        <w:sectPr>
          <w:pgSz w:w="11907" w:h="16840"/>
          <w:pgMar w:top="1077" w:right="1247" w:bottom="1077" w:left="1247" w:header="851" w:footer="442" w:gutter="0"/>
          <w:pgBorders>
            <w:top w:val="none" w:sz="0" w:space="0"/>
            <w:left w:val="none" w:sz="0" w:space="0"/>
            <w:bottom w:val="none" w:sz="0" w:space="0"/>
            <w:right w:val="none" w:sz="0" w:space="0"/>
          </w:pgBorders>
          <w:cols w:space="720" w:num="1"/>
          <w:docGrid w:type="lines" w:linePitch="312" w:charSpace="0"/>
        </w:sectPr>
      </w:pPr>
      <w:r>
        <w:rPr>
          <w:color w:val="000000" w:themeColor="text1"/>
          <w:sz w:val="18"/>
          <w:szCs w:val="18"/>
          <w14:textFill>
            <w14:solidFill>
              <w14:schemeClr w14:val="tx1"/>
            </w14:solidFill>
          </w14:textFill>
        </w:rPr>
        <w:tab/>
      </w:r>
    </w:p>
    <w:p>
      <w:pPr>
        <w:pStyle w:val="3"/>
        <w:rPr>
          <w:color w:val="000000" w:themeColor="text1"/>
          <w14:textFill>
            <w14:solidFill>
              <w14:schemeClr w14:val="tx1"/>
            </w14:solidFill>
          </w14:textFill>
        </w:rPr>
      </w:pPr>
      <w:bookmarkStart w:id="11" w:name="_Toc523906064"/>
      <w:bookmarkStart w:id="12" w:name="_Toc523739623"/>
      <w:r>
        <w:rPr>
          <w:rFonts w:hint="eastAsia"/>
          <w:color w:val="000000" w:themeColor="text1"/>
          <w14:textFill>
            <w14:solidFill>
              <w14:schemeClr w14:val="tx1"/>
            </w14:solidFill>
          </w14:textFill>
        </w:rPr>
        <w:t>附表</w:t>
      </w:r>
    </w:p>
    <w:p>
      <w:pPr>
        <w:pStyle w:val="3"/>
        <w:keepNext w:val="0"/>
        <w:adjustRightInd w:val="0"/>
        <w:snapToGrid w:val="0"/>
        <w:jc w:val="center"/>
        <w:rPr>
          <w:rFonts w:ascii="宋体" w:hAnsi="宋体" w:cs="宋体"/>
          <w:color w:val="000000" w:themeColor="text1"/>
          <w:sz w:val="32"/>
          <w:szCs w:val="32"/>
          <w14:textFill>
            <w14:solidFill>
              <w14:schemeClr w14:val="tx1"/>
            </w14:solidFill>
          </w14:textFill>
        </w:rPr>
      </w:pPr>
      <w:r>
        <w:rPr>
          <w:rFonts w:hint="eastAsia" w:ascii="宋体" w:hAnsi="宋体" w:cs="宋体"/>
          <w:color w:val="000000" w:themeColor="text1"/>
          <w:sz w:val="32"/>
          <w:szCs w:val="32"/>
          <w14:textFill>
            <w14:solidFill>
              <w14:schemeClr w14:val="tx1"/>
            </w14:solidFill>
          </w14:textFill>
        </w:rPr>
        <w:t>建设项目竣工环境保护“三同时”验收登记表</w:t>
      </w:r>
      <w:bookmarkEnd w:id="11"/>
      <w:bookmarkEnd w:id="12"/>
    </w:p>
    <w:p>
      <w:pPr>
        <w:widowControl/>
        <w:spacing w:line="360" w:lineRule="exact"/>
        <w:rPr>
          <w:color w:val="000000" w:themeColor="text1"/>
          <w:szCs w:val="21"/>
          <w14:textFill>
            <w14:solidFill>
              <w14:schemeClr w14:val="tx1"/>
            </w14:solidFill>
          </w14:textFill>
        </w:rPr>
      </w:pPr>
      <w:r>
        <w:rPr>
          <w:b/>
          <w:color w:val="000000" w:themeColor="text1"/>
          <w:szCs w:val="21"/>
          <w14:textFill>
            <w14:solidFill>
              <w14:schemeClr w14:val="tx1"/>
            </w14:solidFill>
          </w14:textFill>
        </w:rPr>
        <w:t>填表单位(盖章):</w:t>
      </w:r>
      <w:r>
        <w:rPr>
          <w:rFonts w:hint="eastAsia"/>
          <w:b/>
          <w:color w:val="000000" w:themeColor="text1"/>
          <w:szCs w:val="21"/>
          <w14:textFill>
            <w14:solidFill>
              <w14:schemeClr w14:val="tx1"/>
            </w14:solidFill>
          </w14:textFill>
        </w:rPr>
        <w:t>中山大学南昌研究院</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b/>
          <w:color w:val="000000" w:themeColor="text1"/>
          <w:szCs w:val="21"/>
          <w14:textFill>
            <w14:solidFill>
              <w14:schemeClr w14:val="tx1"/>
            </w14:solidFill>
          </w14:textFill>
        </w:rPr>
        <w:t>填表人</w:t>
      </w:r>
      <w:r>
        <w:rPr>
          <w:color w:val="000000" w:themeColor="text1"/>
          <w:szCs w:val="21"/>
          <w14:textFill>
            <w14:solidFill>
              <w14:schemeClr w14:val="tx1"/>
            </w14:solidFill>
          </w14:textFill>
        </w:rPr>
        <w:t>(签字)</w:t>
      </w:r>
      <w:r>
        <w:rPr>
          <w:b/>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b/>
          <w:color w:val="000000" w:themeColor="text1"/>
          <w:szCs w:val="21"/>
          <w14:textFill>
            <w14:solidFill>
              <w14:schemeClr w14:val="tx1"/>
            </w14:solidFill>
          </w14:textFill>
        </w:rPr>
        <w:t>项目经办</w:t>
      </w:r>
      <w:r>
        <w:rPr>
          <w:color w:val="000000" w:themeColor="text1"/>
          <w:szCs w:val="21"/>
          <w14:textFill>
            <w14:solidFill>
              <w14:schemeClr w14:val="tx1"/>
            </w14:solidFill>
          </w14:textFill>
        </w:rPr>
        <w:t>人(签字):</w:t>
      </w:r>
    </w:p>
    <w:tbl>
      <w:tblPr>
        <w:tblStyle w:val="29"/>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61"/>
        <w:gridCol w:w="132"/>
        <w:gridCol w:w="891"/>
        <w:gridCol w:w="582"/>
        <w:gridCol w:w="486"/>
        <w:gridCol w:w="1209"/>
        <w:gridCol w:w="957"/>
        <w:gridCol w:w="714"/>
        <w:gridCol w:w="313"/>
        <w:gridCol w:w="601"/>
        <w:gridCol w:w="1180"/>
        <w:gridCol w:w="412"/>
        <w:gridCol w:w="268"/>
        <w:gridCol w:w="2163"/>
        <w:gridCol w:w="875"/>
        <w:gridCol w:w="503"/>
        <w:gridCol w:w="565"/>
        <w:gridCol w:w="353"/>
        <w:gridCol w:w="658"/>
        <w:gridCol w:w="8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7" w:type="pct"/>
            <w:vMerge w:val="restart"/>
            <w:tcMar>
              <w:left w:w="57" w:type="dxa"/>
              <w:right w:w="57" w:type="dxa"/>
            </w:tcMar>
            <w:textDirection w:val="tbRlV"/>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建设项目</w:t>
            </w:r>
          </w:p>
        </w:tc>
        <w:tc>
          <w:tcPr>
            <w:tcW w:w="569" w:type="pct"/>
            <w:gridSpan w:val="3"/>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项目名称</w:t>
            </w:r>
          </w:p>
        </w:tc>
        <w:tc>
          <w:tcPr>
            <w:tcW w:w="1516" w:type="pct"/>
            <w:gridSpan w:val="6"/>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 xml:space="preserve"> 中山大学南昌研究院生物医药研究中心建设项目</w:t>
            </w:r>
          </w:p>
        </w:tc>
        <w:tc>
          <w:tcPr>
            <w:tcW w:w="564" w:type="pct"/>
            <w:gridSpan w:val="2"/>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项目代码</w:t>
            </w:r>
          </w:p>
        </w:tc>
        <w:tc>
          <w:tcPr>
            <w:tcW w:w="861" w:type="pct"/>
            <w:gridSpan w:val="2"/>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2203-360198-04-01-181493</w:t>
            </w:r>
          </w:p>
        </w:tc>
        <w:tc>
          <w:tcPr>
            <w:tcW w:w="487" w:type="pct"/>
            <w:gridSpan w:val="2"/>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建设地点</w:t>
            </w:r>
          </w:p>
        </w:tc>
        <w:tc>
          <w:tcPr>
            <w:tcW w:w="873" w:type="pct"/>
            <w:gridSpan w:val="4"/>
            <w:tcMar>
              <w:left w:w="57" w:type="dxa"/>
              <w:right w:w="57" w:type="dxa"/>
            </w:tcMar>
            <w:vAlign w:val="center"/>
          </w:tcPr>
          <w:p>
            <w:pPr>
              <w:adjustRightInd w:val="0"/>
              <w:snapToGrid w:val="0"/>
              <w:ind w:right="-105" w:rightChars="-50"/>
              <w:jc w:val="both"/>
              <w:rPr>
                <w:rFonts w:hint="eastAsia" w:eastAsiaTheme="minorEastAsia"/>
                <w:color w:val="000000" w:themeColor="text1"/>
                <w:sz w:val="18"/>
                <w:szCs w:val="18"/>
                <w:lang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南昌高新技术开发区艾溪湖北路269号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7" w:type="pct"/>
            <w:vMerge w:val="continue"/>
            <w:tcMar>
              <w:left w:w="57" w:type="dxa"/>
              <w:right w:w="57" w:type="dxa"/>
            </w:tcMar>
            <w:vAlign w:val="center"/>
          </w:tcPr>
          <w:p>
            <w:pPr>
              <w:adjustRightInd w:val="0"/>
              <w:snapToGrid w:val="0"/>
              <w:rPr>
                <w:rFonts w:eastAsiaTheme="minorEastAsia"/>
                <w:color w:val="000000" w:themeColor="text1"/>
                <w:sz w:val="18"/>
                <w:szCs w:val="18"/>
                <w14:textFill>
                  <w14:solidFill>
                    <w14:schemeClr w14:val="tx1"/>
                  </w14:solidFill>
                </w14:textFill>
              </w:rPr>
            </w:pPr>
          </w:p>
        </w:tc>
        <w:tc>
          <w:tcPr>
            <w:tcW w:w="569" w:type="pct"/>
            <w:gridSpan w:val="3"/>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行业类别</w:t>
            </w:r>
          </w:p>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（分类管理名录）</w:t>
            </w:r>
          </w:p>
        </w:tc>
        <w:tc>
          <w:tcPr>
            <w:tcW w:w="1516" w:type="pct"/>
            <w:gridSpan w:val="6"/>
            <w:tcMar>
              <w:left w:w="57" w:type="dxa"/>
              <w:right w:w="57" w:type="dxa"/>
            </w:tcMar>
            <w:vAlign w:val="center"/>
          </w:tcPr>
          <w:p>
            <w:pPr>
              <w:adjustRightInd w:val="0"/>
              <w:snapToGrid w:val="0"/>
              <w:jc w:val="center"/>
              <w:rPr>
                <w:rFonts w:hint="default" w:eastAsiaTheme="minorEastAsia"/>
                <w:color w:val="000000" w:themeColor="text1"/>
                <w:sz w:val="18"/>
                <w:szCs w:val="18"/>
                <w:lang w:val="en-US" w:eastAsia="zh-CN"/>
                <w14:textFill>
                  <w14:solidFill>
                    <w14:schemeClr w14:val="tx1"/>
                  </w14:solidFill>
                </w14:textFill>
              </w:rPr>
            </w:pPr>
            <w:r>
              <w:rPr>
                <w:rFonts w:hint="default" w:eastAsiaTheme="minorEastAsia"/>
                <w:color w:val="000000" w:themeColor="text1"/>
                <w:sz w:val="18"/>
                <w:szCs w:val="18"/>
                <w:lang w:val="en-US" w:eastAsia="zh-CN"/>
                <w14:textFill>
                  <w14:solidFill>
                    <w14:schemeClr w14:val="tx1"/>
                  </w14:solidFill>
                </w14:textFill>
              </w:rPr>
              <w:t>四十五、研究和试验发展-98专业实验室、研发（实验）基地-其他</w:t>
            </w:r>
          </w:p>
        </w:tc>
        <w:tc>
          <w:tcPr>
            <w:tcW w:w="564" w:type="pct"/>
            <w:gridSpan w:val="2"/>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建设性质</w:t>
            </w:r>
          </w:p>
        </w:tc>
        <w:tc>
          <w:tcPr>
            <w:tcW w:w="1349" w:type="pct"/>
            <w:gridSpan w:val="4"/>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√新建  □ 改扩建  □技术改造</w:t>
            </w:r>
          </w:p>
        </w:tc>
        <w:tc>
          <w:tcPr>
            <w:tcW w:w="325" w:type="pct"/>
            <w:gridSpan w:val="2"/>
            <w:tcMar>
              <w:left w:w="57" w:type="dxa"/>
              <w:right w:w="57" w:type="dxa"/>
            </w:tcMa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项目厂区中心经度/纬度</w:t>
            </w:r>
          </w:p>
        </w:tc>
        <w:tc>
          <w:tcPr>
            <w:tcW w:w="547" w:type="pct"/>
            <w:gridSpan w:val="2"/>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E11</w:t>
            </w:r>
            <w:r>
              <w:rPr>
                <w:rFonts w:hint="eastAsia" w:cs="Times New Roman" w:eastAsiaTheme="minorEastAsia"/>
                <w:color w:val="000000" w:themeColor="text1"/>
                <w:sz w:val="18"/>
                <w:szCs w:val="18"/>
                <w:lang w:val="en-US" w:eastAsia="zh-CN"/>
                <w14:textFill>
                  <w14:solidFill>
                    <w14:schemeClr w14:val="tx1"/>
                  </w14:solidFill>
                </w14:textFill>
              </w:rPr>
              <w:t>6</w:t>
            </w:r>
            <w:r>
              <w:rPr>
                <w:rFonts w:hint="default" w:ascii="Times New Roman" w:hAnsi="Times New Roman" w:cs="Times New Roman" w:eastAsiaTheme="minorEastAsia"/>
                <w:color w:val="000000" w:themeColor="text1"/>
                <w:sz w:val="18"/>
                <w:szCs w:val="18"/>
                <w14:textFill>
                  <w14:solidFill>
                    <w14:schemeClr w14:val="tx1"/>
                  </w14:solidFill>
                </w14:textFill>
              </w:rPr>
              <w:t>°</w:t>
            </w:r>
            <w:r>
              <w:rPr>
                <w:rFonts w:hint="eastAsia" w:cs="Times New Roman" w:eastAsiaTheme="minorEastAsia"/>
                <w:color w:val="000000" w:themeColor="text1"/>
                <w:sz w:val="18"/>
                <w:szCs w:val="18"/>
                <w:lang w:val="en-US" w:eastAsia="zh-CN"/>
                <w14:textFill>
                  <w14:solidFill>
                    <w14:schemeClr w14:val="tx1"/>
                  </w14:solidFill>
                </w14:textFill>
              </w:rPr>
              <w:t>0</w:t>
            </w:r>
            <w:r>
              <w:rPr>
                <w:rFonts w:hint="default" w:ascii="Times New Roman" w:hAnsi="Times New Roman" w:cs="Times New Roman" w:eastAsiaTheme="minorEastAsia"/>
                <w:color w:val="000000" w:themeColor="text1"/>
                <w:sz w:val="18"/>
                <w:szCs w:val="18"/>
                <w14:textFill>
                  <w14:solidFill>
                    <w14:schemeClr w14:val="tx1"/>
                  </w14:solidFill>
                </w14:textFill>
              </w:rPr>
              <w:t>′</w:t>
            </w:r>
            <w:r>
              <w:rPr>
                <w:rFonts w:hint="eastAsia" w:cs="Times New Roman" w:eastAsiaTheme="minorEastAsia"/>
                <w:color w:val="000000" w:themeColor="text1"/>
                <w:sz w:val="18"/>
                <w:szCs w:val="18"/>
                <w:lang w:val="en-US" w:eastAsia="zh-CN"/>
                <w14:textFill>
                  <w14:solidFill>
                    <w14:schemeClr w14:val="tx1"/>
                  </w14:solidFill>
                </w14:textFill>
              </w:rPr>
              <w:t>53.218</w:t>
            </w:r>
            <w:r>
              <w:rPr>
                <w:rFonts w:hint="default" w:ascii="Times New Roman" w:hAnsi="Times New Roman" w:cs="Times New Roman" w:eastAsiaTheme="minorEastAsia"/>
                <w:color w:val="000000" w:themeColor="text1"/>
                <w:sz w:val="18"/>
                <w:szCs w:val="18"/>
                <w14:textFill>
                  <w14:solidFill>
                    <w14:schemeClr w14:val="tx1"/>
                  </w14:solidFill>
                </w14:textFill>
              </w:rPr>
              <w:t>″，N28°</w:t>
            </w:r>
            <w:r>
              <w:rPr>
                <w:rFonts w:hint="eastAsia" w:cs="Times New Roman" w:eastAsiaTheme="minorEastAsia"/>
                <w:color w:val="000000" w:themeColor="text1"/>
                <w:sz w:val="18"/>
                <w:szCs w:val="18"/>
                <w:lang w:val="en-US" w:eastAsia="zh-CN"/>
                <w14:textFill>
                  <w14:solidFill>
                    <w14:schemeClr w14:val="tx1"/>
                  </w14:solidFill>
                </w14:textFill>
              </w:rPr>
              <w:t>42</w:t>
            </w:r>
            <w:r>
              <w:rPr>
                <w:rFonts w:hint="default" w:ascii="Times New Roman" w:hAnsi="Times New Roman" w:cs="Times New Roman" w:eastAsiaTheme="minorEastAsia"/>
                <w:color w:val="000000" w:themeColor="text1"/>
                <w:sz w:val="18"/>
                <w:szCs w:val="18"/>
                <w14:textFill>
                  <w14:solidFill>
                    <w14:schemeClr w14:val="tx1"/>
                  </w14:solidFill>
                </w14:textFill>
              </w:rPr>
              <w:t>′</w:t>
            </w:r>
            <w:r>
              <w:rPr>
                <w:rFonts w:hint="eastAsia" w:cs="Times New Roman" w:eastAsiaTheme="minorEastAsia"/>
                <w:color w:val="000000" w:themeColor="text1"/>
                <w:sz w:val="18"/>
                <w:szCs w:val="18"/>
                <w:lang w:val="en-US" w:eastAsia="zh-CN"/>
                <w14:textFill>
                  <w14:solidFill>
                    <w14:schemeClr w14:val="tx1"/>
                  </w14:solidFill>
                </w14:textFill>
              </w:rPr>
              <w:t>35.828</w:t>
            </w:r>
            <w:r>
              <w:rPr>
                <w:rFonts w:hint="default" w:ascii="Times New Roman" w:hAnsi="Times New Roman" w:cs="Times New Roman" w:eastAsiaTheme="minorEastAsia"/>
                <w:color w:val="000000" w:themeColor="text1"/>
                <w:sz w:val="18"/>
                <w:szCs w:val="18"/>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7" w:type="pct"/>
            <w:vMerge w:val="continue"/>
            <w:tcMar>
              <w:left w:w="57" w:type="dxa"/>
              <w:right w:w="57" w:type="dxa"/>
            </w:tcMar>
            <w:vAlign w:val="center"/>
          </w:tcPr>
          <w:p>
            <w:pPr>
              <w:adjustRightInd w:val="0"/>
              <w:snapToGrid w:val="0"/>
              <w:rPr>
                <w:rFonts w:eastAsiaTheme="minorEastAsia"/>
                <w:color w:val="000000" w:themeColor="text1"/>
                <w:sz w:val="18"/>
                <w:szCs w:val="18"/>
                <w14:textFill>
                  <w14:solidFill>
                    <w14:schemeClr w14:val="tx1"/>
                  </w14:solidFill>
                </w14:textFill>
              </w:rPr>
            </w:pPr>
          </w:p>
        </w:tc>
        <w:tc>
          <w:tcPr>
            <w:tcW w:w="569" w:type="pct"/>
            <w:gridSpan w:val="3"/>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设计</w:t>
            </w:r>
            <w:r>
              <w:rPr>
                <w:rFonts w:hint="eastAsia" w:eastAsiaTheme="minorEastAsia"/>
                <w:b/>
                <w:color w:val="000000" w:themeColor="text1"/>
                <w:sz w:val="18"/>
                <w:szCs w:val="18"/>
                <w14:textFill>
                  <w14:solidFill>
                    <w14:schemeClr w14:val="tx1"/>
                  </w14:solidFill>
                </w14:textFill>
              </w:rPr>
              <w:t>生产</w:t>
            </w:r>
            <w:r>
              <w:rPr>
                <w:rFonts w:eastAsiaTheme="minorEastAsia"/>
                <w:b/>
                <w:color w:val="000000" w:themeColor="text1"/>
                <w:sz w:val="18"/>
                <w:szCs w:val="18"/>
                <w14:textFill>
                  <w14:solidFill>
                    <w14:schemeClr w14:val="tx1"/>
                  </w14:solidFill>
                </w14:textFill>
              </w:rPr>
              <w:t>能力</w:t>
            </w:r>
          </w:p>
        </w:tc>
        <w:tc>
          <w:tcPr>
            <w:tcW w:w="1516" w:type="pct"/>
            <w:gridSpan w:val="6"/>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药物的分析检测、动物实验（药物的药效和毒理实验）、药物制剂研究等</w:t>
            </w:r>
          </w:p>
        </w:tc>
        <w:tc>
          <w:tcPr>
            <w:tcW w:w="564" w:type="pct"/>
            <w:gridSpan w:val="2"/>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实际</w:t>
            </w:r>
            <w:r>
              <w:rPr>
                <w:rFonts w:hint="eastAsia" w:eastAsiaTheme="minorEastAsia"/>
                <w:b/>
                <w:color w:val="000000" w:themeColor="text1"/>
                <w:sz w:val="18"/>
                <w:szCs w:val="18"/>
                <w14:textFill>
                  <w14:solidFill>
                    <w14:schemeClr w14:val="tx1"/>
                  </w14:solidFill>
                </w14:textFill>
              </w:rPr>
              <w:t>生产</w:t>
            </w:r>
            <w:r>
              <w:rPr>
                <w:rFonts w:eastAsiaTheme="minorEastAsia"/>
                <w:b/>
                <w:color w:val="000000" w:themeColor="text1"/>
                <w:sz w:val="18"/>
                <w:szCs w:val="18"/>
                <w14:textFill>
                  <w14:solidFill>
                    <w14:schemeClr w14:val="tx1"/>
                  </w14:solidFill>
                </w14:textFill>
              </w:rPr>
              <w:t>能力</w:t>
            </w:r>
          </w:p>
        </w:tc>
        <w:tc>
          <w:tcPr>
            <w:tcW w:w="861" w:type="pct"/>
            <w:gridSpan w:val="2"/>
            <w:tcMar>
              <w:left w:w="57" w:type="dxa"/>
              <w:right w:w="57" w:type="dxa"/>
            </w:tcMar>
            <w:vAlign w:val="center"/>
          </w:tcPr>
          <w:p>
            <w:pPr>
              <w:adjustRightInd w:val="0"/>
              <w:snapToGrid w:val="0"/>
              <w:ind w:left="-105" w:leftChars="-50" w:right="-105" w:rightChars="-50"/>
              <w:jc w:val="center"/>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药物的分析检测、动物实验（药物的药效和毒理实验）、药物制剂研究等</w:t>
            </w:r>
          </w:p>
        </w:tc>
        <w:tc>
          <w:tcPr>
            <w:tcW w:w="487" w:type="pct"/>
            <w:gridSpan w:val="2"/>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环评单位</w:t>
            </w:r>
          </w:p>
        </w:tc>
        <w:tc>
          <w:tcPr>
            <w:tcW w:w="873" w:type="pct"/>
            <w:gridSpan w:val="4"/>
            <w:tcMar>
              <w:left w:w="57" w:type="dxa"/>
              <w:right w:w="57" w:type="dxa"/>
            </w:tcMar>
            <w:vAlign w:val="center"/>
          </w:tcPr>
          <w:p>
            <w:pPr>
              <w:adjustRightInd w:val="0"/>
              <w:snapToGrid w:val="0"/>
              <w:jc w:val="center"/>
              <w:rPr>
                <w:rFonts w:hint="eastAsia" w:eastAsiaTheme="minorEastAsia"/>
                <w:color w:val="000000" w:themeColor="text1"/>
                <w:sz w:val="18"/>
                <w:szCs w:val="18"/>
                <w:lang w:eastAsia="zh-CN"/>
                <w14:textFill>
                  <w14:solidFill>
                    <w14:schemeClr w14:val="tx1"/>
                  </w14:solidFill>
                </w14:textFill>
              </w:rPr>
            </w:pPr>
            <w:r>
              <w:rPr>
                <w:rFonts w:hint="eastAsia" w:eastAsiaTheme="minorEastAsia"/>
                <w:color w:val="000000" w:themeColor="text1"/>
                <w:sz w:val="18"/>
                <w:szCs w:val="18"/>
                <w:lang w:eastAsia="zh-CN"/>
                <w14:textFill>
                  <w14:solidFill>
                    <w14:schemeClr w14:val="tx1"/>
                  </w14:solidFill>
                </w14:textFill>
              </w:rPr>
              <w:t>南昌航大节能环保服务有限公司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7" w:type="pct"/>
            <w:vMerge w:val="continue"/>
            <w:tcMar>
              <w:left w:w="57" w:type="dxa"/>
              <w:right w:w="57" w:type="dxa"/>
            </w:tcMar>
            <w:vAlign w:val="center"/>
          </w:tcPr>
          <w:p>
            <w:pPr>
              <w:adjustRightInd w:val="0"/>
              <w:snapToGrid w:val="0"/>
              <w:rPr>
                <w:rFonts w:eastAsiaTheme="minorEastAsia"/>
                <w:color w:val="000000" w:themeColor="text1"/>
                <w:sz w:val="18"/>
                <w:szCs w:val="18"/>
                <w14:textFill>
                  <w14:solidFill>
                    <w14:schemeClr w14:val="tx1"/>
                  </w14:solidFill>
                </w14:textFill>
              </w:rPr>
            </w:pPr>
          </w:p>
        </w:tc>
        <w:tc>
          <w:tcPr>
            <w:tcW w:w="569" w:type="pct"/>
            <w:gridSpan w:val="3"/>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环评文件审批机关</w:t>
            </w:r>
          </w:p>
        </w:tc>
        <w:tc>
          <w:tcPr>
            <w:tcW w:w="1516" w:type="pct"/>
            <w:gridSpan w:val="6"/>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lang w:eastAsia="zh-CN"/>
                <w14:textFill>
                  <w14:solidFill>
                    <w14:schemeClr w14:val="tx1"/>
                  </w14:solidFill>
                </w14:textFill>
              </w:rPr>
              <w:t>南昌高新技术产业开发区管理委员会城市管理委员会</w:t>
            </w:r>
          </w:p>
        </w:tc>
        <w:tc>
          <w:tcPr>
            <w:tcW w:w="564" w:type="pct"/>
            <w:gridSpan w:val="2"/>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审批文号</w:t>
            </w:r>
          </w:p>
        </w:tc>
        <w:tc>
          <w:tcPr>
            <w:tcW w:w="861" w:type="pct"/>
            <w:gridSpan w:val="2"/>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lang w:eastAsia="zh-CN"/>
                <w14:textFill>
                  <w14:solidFill>
                    <w14:schemeClr w14:val="tx1"/>
                  </w14:solidFill>
                </w14:textFill>
              </w:rPr>
              <w:t>洪高新管城审批字〔2022〕46号</w:t>
            </w:r>
          </w:p>
        </w:tc>
        <w:tc>
          <w:tcPr>
            <w:tcW w:w="487" w:type="pct"/>
            <w:gridSpan w:val="2"/>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环评文件类型</w:t>
            </w:r>
          </w:p>
        </w:tc>
        <w:tc>
          <w:tcPr>
            <w:tcW w:w="873" w:type="pct"/>
            <w:gridSpan w:val="4"/>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环境影响报告表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7" w:type="pct"/>
            <w:vMerge w:val="continue"/>
            <w:tcMar>
              <w:left w:w="57" w:type="dxa"/>
              <w:right w:w="57" w:type="dxa"/>
            </w:tcMar>
            <w:vAlign w:val="center"/>
          </w:tcPr>
          <w:p>
            <w:pPr>
              <w:adjustRightInd w:val="0"/>
              <w:snapToGrid w:val="0"/>
              <w:rPr>
                <w:rFonts w:eastAsiaTheme="minorEastAsia"/>
                <w:color w:val="000000" w:themeColor="text1"/>
                <w:sz w:val="18"/>
                <w:szCs w:val="18"/>
                <w14:textFill>
                  <w14:solidFill>
                    <w14:schemeClr w14:val="tx1"/>
                  </w14:solidFill>
                </w14:textFill>
              </w:rPr>
            </w:pPr>
          </w:p>
        </w:tc>
        <w:tc>
          <w:tcPr>
            <w:tcW w:w="569" w:type="pct"/>
            <w:gridSpan w:val="3"/>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开工日期</w:t>
            </w:r>
          </w:p>
        </w:tc>
        <w:tc>
          <w:tcPr>
            <w:tcW w:w="1516" w:type="pct"/>
            <w:gridSpan w:val="6"/>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202</w:t>
            </w:r>
            <w:r>
              <w:rPr>
                <w:rFonts w:hint="eastAsia" w:eastAsiaTheme="minorEastAsia"/>
                <w:color w:val="000000" w:themeColor="text1"/>
                <w:sz w:val="18"/>
                <w:szCs w:val="18"/>
                <w:lang w:val="en-US" w:eastAsia="zh-CN"/>
                <w14:textFill>
                  <w14:solidFill>
                    <w14:schemeClr w14:val="tx1"/>
                  </w14:solidFill>
                </w14:textFill>
              </w:rPr>
              <w:t>2</w:t>
            </w:r>
            <w:r>
              <w:rPr>
                <w:rFonts w:hint="eastAsia" w:eastAsiaTheme="minorEastAsia"/>
                <w:color w:val="000000" w:themeColor="text1"/>
                <w:sz w:val="18"/>
                <w:szCs w:val="18"/>
                <w14:textFill>
                  <w14:solidFill>
                    <w14:schemeClr w14:val="tx1"/>
                  </w14:solidFill>
                </w14:textFill>
              </w:rPr>
              <w:t>年</w:t>
            </w:r>
            <w:r>
              <w:rPr>
                <w:rFonts w:hint="eastAsia" w:eastAsiaTheme="minorEastAsia"/>
                <w:color w:val="000000" w:themeColor="text1"/>
                <w:sz w:val="18"/>
                <w:szCs w:val="18"/>
                <w:lang w:val="en-US" w:eastAsia="zh-CN"/>
                <w14:textFill>
                  <w14:solidFill>
                    <w14:schemeClr w14:val="tx1"/>
                  </w14:solidFill>
                </w14:textFill>
              </w:rPr>
              <w:t>10</w:t>
            </w:r>
            <w:r>
              <w:rPr>
                <w:rFonts w:hint="eastAsia" w:eastAsiaTheme="minorEastAsia"/>
                <w:color w:val="000000" w:themeColor="text1"/>
                <w:sz w:val="18"/>
                <w:szCs w:val="18"/>
                <w14:textFill>
                  <w14:solidFill>
                    <w14:schemeClr w14:val="tx1"/>
                  </w14:solidFill>
                </w14:textFill>
              </w:rPr>
              <w:t>月</w:t>
            </w:r>
          </w:p>
        </w:tc>
        <w:tc>
          <w:tcPr>
            <w:tcW w:w="564" w:type="pct"/>
            <w:gridSpan w:val="2"/>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竣工日期</w:t>
            </w:r>
          </w:p>
        </w:tc>
        <w:tc>
          <w:tcPr>
            <w:tcW w:w="861" w:type="pct"/>
            <w:gridSpan w:val="2"/>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202</w:t>
            </w:r>
            <w:r>
              <w:rPr>
                <w:rFonts w:hint="eastAsia" w:eastAsiaTheme="minorEastAsia"/>
                <w:color w:val="000000" w:themeColor="text1"/>
                <w:sz w:val="18"/>
                <w:szCs w:val="18"/>
                <w:lang w:val="en-US" w:eastAsia="zh-CN"/>
                <w14:textFill>
                  <w14:solidFill>
                    <w14:schemeClr w14:val="tx1"/>
                  </w14:solidFill>
                </w14:textFill>
              </w:rPr>
              <w:t>4</w:t>
            </w:r>
            <w:r>
              <w:rPr>
                <w:rFonts w:hint="eastAsia" w:eastAsiaTheme="minorEastAsia"/>
                <w:color w:val="000000" w:themeColor="text1"/>
                <w:sz w:val="18"/>
                <w:szCs w:val="18"/>
                <w14:textFill>
                  <w14:solidFill>
                    <w14:schemeClr w14:val="tx1"/>
                  </w14:solidFill>
                </w14:textFill>
              </w:rPr>
              <w:t>年</w:t>
            </w:r>
            <w:r>
              <w:rPr>
                <w:rFonts w:hint="eastAsia" w:eastAsiaTheme="minorEastAsia"/>
                <w:color w:val="000000" w:themeColor="text1"/>
                <w:sz w:val="18"/>
                <w:szCs w:val="18"/>
                <w:lang w:val="en-US" w:eastAsia="zh-CN"/>
                <w14:textFill>
                  <w14:solidFill>
                    <w14:schemeClr w14:val="tx1"/>
                  </w14:solidFill>
                </w14:textFill>
              </w:rPr>
              <w:t>1</w:t>
            </w:r>
            <w:r>
              <w:rPr>
                <w:rFonts w:hint="eastAsia" w:eastAsiaTheme="minorEastAsia"/>
                <w:color w:val="000000" w:themeColor="text1"/>
                <w:sz w:val="18"/>
                <w:szCs w:val="18"/>
                <w14:textFill>
                  <w14:solidFill>
                    <w14:schemeClr w14:val="tx1"/>
                  </w14:solidFill>
                </w14:textFill>
              </w:rPr>
              <w:t>月</w:t>
            </w:r>
          </w:p>
        </w:tc>
        <w:tc>
          <w:tcPr>
            <w:tcW w:w="487" w:type="pct"/>
            <w:gridSpan w:val="2"/>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排污许可证</w:t>
            </w:r>
          </w:p>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申领时间</w:t>
            </w:r>
          </w:p>
        </w:tc>
        <w:tc>
          <w:tcPr>
            <w:tcW w:w="873" w:type="pct"/>
            <w:gridSpan w:val="4"/>
            <w:tcMar>
              <w:left w:w="57" w:type="dxa"/>
              <w:right w:w="57" w:type="dxa"/>
            </w:tcMar>
            <w:vAlign w:val="center"/>
          </w:tcPr>
          <w:p>
            <w:pPr>
              <w:adjustRightInd w:val="0"/>
              <w:snapToGrid w:val="0"/>
              <w:jc w:val="center"/>
              <w:rPr>
                <w:rFonts w:hint="default"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07" w:hRule="atLeast"/>
          <w:jc w:val="center"/>
        </w:trPr>
        <w:tc>
          <w:tcPr>
            <w:tcW w:w="127" w:type="pct"/>
            <w:vMerge w:val="continue"/>
            <w:tcMar>
              <w:left w:w="57" w:type="dxa"/>
              <w:right w:w="57" w:type="dxa"/>
            </w:tcMar>
            <w:vAlign w:val="center"/>
          </w:tcPr>
          <w:p>
            <w:pPr>
              <w:adjustRightInd w:val="0"/>
              <w:snapToGrid w:val="0"/>
              <w:rPr>
                <w:rFonts w:eastAsiaTheme="minorEastAsia"/>
                <w:color w:val="000000" w:themeColor="text1"/>
                <w:sz w:val="18"/>
                <w:szCs w:val="18"/>
                <w14:textFill>
                  <w14:solidFill>
                    <w14:schemeClr w14:val="tx1"/>
                  </w14:solidFill>
                </w14:textFill>
              </w:rPr>
            </w:pPr>
          </w:p>
        </w:tc>
        <w:tc>
          <w:tcPr>
            <w:tcW w:w="569" w:type="pct"/>
            <w:gridSpan w:val="3"/>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环保设施设计单位</w:t>
            </w:r>
          </w:p>
        </w:tc>
        <w:tc>
          <w:tcPr>
            <w:tcW w:w="1516" w:type="pct"/>
            <w:gridSpan w:val="6"/>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w:t>
            </w:r>
          </w:p>
        </w:tc>
        <w:tc>
          <w:tcPr>
            <w:tcW w:w="564" w:type="pct"/>
            <w:gridSpan w:val="2"/>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环保设施施工单位</w:t>
            </w:r>
          </w:p>
        </w:tc>
        <w:tc>
          <w:tcPr>
            <w:tcW w:w="861" w:type="pct"/>
            <w:gridSpan w:val="2"/>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w:t>
            </w:r>
          </w:p>
        </w:tc>
        <w:tc>
          <w:tcPr>
            <w:tcW w:w="487" w:type="pct"/>
            <w:gridSpan w:val="2"/>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本工程</w:t>
            </w:r>
          </w:p>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排污许可证编号</w:t>
            </w:r>
          </w:p>
        </w:tc>
        <w:tc>
          <w:tcPr>
            <w:tcW w:w="873" w:type="pct"/>
            <w:gridSpan w:val="4"/>
            <w:tcMar>
              <w:left w:w="57" w:type="dxa"/>
              <w:right w:w="57" w:type="dxa"/>
            </w:tcMar>
            <w:vAlign w:val="center"/>
          </w:tcPr>
          <w:p>
            <w:pPr>
              <w:adjustRightInd w:val="0"/>
              <w:snapToGrid w:val="0"/>
              <w:jc w:val="center"/>
              <w:rPr>
                <w:rFonts w:hint="default"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7" w:type="pct"/>
            <w:vMerge w:val="continue"/>
            <w:tcMar>
              <w:left w:w="57" w:type="dxa"/>
              <w:right w:w="57" w:type="dxa"/>
            </w:tcMar>
            <w:vAlign w:val="center"/>
          </w:tcPr>
          <w:p>
            <w:pPr>
              <w:adjustRightInd w:val="0"/>
              <w:snapToGrid w:val="0"/>
              <w:rPr>
                <w:rFonts w:eastAsiaTheme="minorEastAsia"/>
                <w:color w:val="000000" w:themeColor="text1"/>
                <w:sz w:val="18"/>
                <w:szCs w:val="18"/>
                <w14:textFill>
                  <w14:solidFill>
                    <w14:schemeClr w14:val="tx1"/>
                  </w14:solidFill>
                </w14:textFill>
              </w:rPr>
            </w:pPr>
          </w:p>
        </w:tc>
        <w:tc>
          <w:tcPr>
            <w:tcW w:w="569" w:type="pct"/>
            <w:gridSpan w:val="3"/>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验收单位</w:t>
            </w:r>
          </w:p>
        </w:tc>
        <w:tc>
          <w:tcPr>
            <w:tcW w:w="1516" w:type="pct"/>
            <w:gridSpan w:val="6"/>
            <w:tcMar>
              <w:left w:w="57" w:type="dxa"/>
              <w:right w:w="57" w:type="dxa"/>
            </w:tcMar>
            <w:vAlign w:val="center"/>
          </w:tcPr>
          <w:p>
            <w:pPr>
              <w:adjustRightInd w:val="0"/>
              <w:snapToGrid w:val="0"/>
              <w:jc w:val="center"/>
              <w:rPr>
                <w:rFonts w:hint="eastAsia" w:eastAsiaTheme="minorEastAsia"/>
                <w:color w:val="000000" w:themeColor="text1"/>
                <w:sz w:val="18"/>
                <w:szCs w:val="18"/>
                <w:lang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中山大学南昌研究院</w:t>
            </w:r>
          </w:p>
        </w:tc>
        <w:tc>
          <w:tcPr>
            <w:tcW w:w="564" w:type="pct"/>
            <w:gridSpan w:val="2"/>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环保设施监测单位</w:t>
            </w:r>
          </w:p>
        </w:tc>
        <w:tc>
          <w:tcPr>
            <w:tcW w:w="861" w:type="pct"/>
            <w:gridSpan w:val="2"/>
            <w:tcMar>
              <w:left w:w="57" w:type="dxa"/>
              <w:right w:w="57" w:type="dxa"/>
            </w:tcMar>
            <w:vAlign w:val="center"/>
          </w:tcPr>
          <w:p>
            <w:pPr>
              <w:adjustRightInd w:val="0"/>
              <w:snapToGrid w:val="0"/>
              <w:jc w:val="center"/>
              <w:rPr>
                <w:rFonts w:hint="eastAsia" w:eastAsiaTheme="minorEastAsia"/>
                <w:color w:val="000000" w:themeColor="text1"/>
                <w:sz w:val="18"/>
                <w:szCs w:val="18"/>
                <w:lang w:eastAsia="zh-CN"/>
                <w14:textFill>
                  <w14:solidFill>
                    <w14:schemeClr w14:val="tx1"/>
                  </w14:solidFill>
                </w14:textFill>
              </w:rPr>
            </w:pPr>
            <w:r>
              <w:rPr>
                <w:rFonts w:hint="eastAsia" w:eastAsiaTheme="minorEastAsia"/>
                <w:color w:val="000000" w:themeColor="text1"/>
                <w:sz w:val="18"/>
                <w:szCs w:val="18"/>
                <w:highlight w:val="none"/>
                <w:lang w:eastAsia="zh-CN"/>
                <w14:textFill>
                  <w14:solidFill>
                    <w14:schemeClr w14:val="tx1"/>
                  </w14:solidFill>
                </w14:textFill>
              </w:rPr>
              <w:t>南昌宇环检测技术有限公司</w:t>
            </w:r>
          </w:p>
        </w:tc>
        <w:tc>
          <w:tcPr>
            <w:tcW w:w="487" w:type="pct"/>
            <w:gridSpan w:val="2"/>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验收监测时工况</w:t>
            </w:r>
          </w:p>
        </w:tc>
        <w:tc>
          <w:tcPr>
            <w:tcW w:w="873" w:type="pct"/>
            <w:gridSpan w:val="4"/>
            <w:tcMar>
              <w:left w:w="57" w:type="dxa"/>
              <w:right w:w="57" w:type="dxa"/>
            </w:tcMar>
            <w:vAlign w:val="center"/>
          </w:tcPr>
          <w:p>
            <w:pPr>
              <w:adjustRightInd w:val="0"/>
              <w:snapToGrid w:val="0"/>
              <w:jc w:val="center"/>
              <w:rPr>
                <w:rFonts w:hint="eastAsia" w:eastAsiaTheme="minorEastAsia"/>
                <w:color w:val="000000" w:themeColor="text1"/>
                <w:sz w:val="18"/>
                <w:szCs w:val="18"/>
                <w:lang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7" w:type="pct"/>
            <w:vMerge w:val="continue"/>
            <w:tcMar>
              <w:left w:w="57" w:type="dxa"/>
              <w:right w:w="57" w:type="dxa"/>
            </w:tcMar>
            <w:vAlign w:val="center"/>
          </w:tcPr>
          <w:p>
            <w:pPr>
              <w:adjustRightInd w:val="0"/>
              <w:snapToGrid w:val="0"/>
              <w:rPr>
                <w:rFonts w:eastAsiaTheme="minorEastAsia"/>
                <w:color w:val="000000" w:themeColor="text1"/>
                <w:sz w:val="18"/>
                <w:szCs w:val="18"/>
                <w14:textFill>
                  <w14:solidFill>
                    <w14:schemeClr w14:val="tx1"/>
                  </w14:solidFill>
                </w14:textFill>
              </w:rPr>
            </w:pPr>
          </w:p>
        </w:tc>
        <w:tc>
          <w:tcPr>
            <w:tcW w:w="569" w:type="pct"/>
            <w:gridSpan w:val="3"/>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投资总概算（万元）</w:t>
            </w:r>
          </w:p>
        </w:tc>
        <w:tc>
          <w:tcPr>
            <w:tcW w:w="1516" w:type="pct"/>
            <w:gridSpan w:val="6"/>
            <w:tcMar>
              <w:left w:w="57" w:type="dxa"/>
              <w:right w:w="57" w:type="dxa"/>
            </w:tcMar>
            <w:vAlign w:val="center"/>
          </w:tcPr>
          <w:p>
            <w:pPr>
              <w:adjustRightInd w:val="0"/>
              <w:snapToGrid w:val="0"/>
              <w:jc w:val="center"/>
              <w:rPr>
                <w:rFonts w:hint="default"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2300</w:t>
            </w:r>
          </w:p>
        </w:tc>
        <w:tc>
          <w:tcPr>
            <w:tcW w:w="564" w:type="pct"/>
            <w:gridSpan w:val="2"/>
            <w:tcMar>
              <w:left w:w="57" w:type="dxa"/>
              <w:right w:w="57" w:type="dxa"/>
            </w:tcMar>
            <w:vAlign w:val="center"/>
          </w:tcPr>
          <w:p>
            <w:pPr>
              <w:tabs>
                <w:tab w:val="left" w:pos="690"/>
              </w:tabs>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环保投资</w:t>
            </w:r>
          </w:p>
          <w:p>
            <w:pPr>
              <w:tabs>
                <w:tab w:val="left" w:pos="690"/>
              </w:tabs>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总概算（万元）</w:t>
            </w:r>
          </w:p>
        </w:tc>
        <w:tc>
          <w:tcPr>
            <w:tcW w:w="861" w:type="pct"/>
            <w:gridSpan w:val="2"/>
            <w:tcMar>
              <w:left w:w="57" w:type="dxa"/>
              <w:right w:w="57" w:type="dxa"/>
            </w:tcMar>
            <w:vAlign w:val="center"/>
          </w:tcPr>
          <w:p>
            <w:pPr>
              <w:adjustRightInd w:val="0"/>
              <w:snapToGrid w:val="0"/>
              <w:jc w:val="center"/>
              <w:rPr>
                <w:rFonts w:hint="default"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50</w:t>
            </w:r>
          </w:p>
        </w:tc>
        <w:tc>
          <w:tcPr>
            <w:tcW w:w="487" w:type="pct"/>
            <w:gridSpan w:val="2"/>
            <w:tcMar>
              <w:left w:w="57" w:type="dxa"/>
              <w:right w:w="57" w:type="dxa"/>
            </w:tcMar>
            <w:vAlign w:val="center"/>
          </w:tcPr>
          <w:p>
            <w:pPr>
              <w:tabs>
                <w:tab w:val="left" w:pos="690"/>
              </w:tabs>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所占比例（%）</w:t>
            </w:r>
          </w:p>
        </w:tc>
        <w:tc>
          <w:tcPr>
            <w:tcW w:w="873" w:type="pct"/>
            <w:gridSpan w:val="4"/>
            <w:tcMar>
              <w:left w:w="57" w:type="dxa"/>
              <w:right w:w="57" w:type="dxa"/>
            </w:tcMar>
            <w:vAlign w:val="center"/>
          </w:tcPr>
          <w:p>
            <w:pPr>
              <w:adjustRightInd w:val="0"/>
              <w:snapToGrid w:val="0"/>
              <w:jc w:val="center"/>
              <w:rPr>
                <w:rFonts w:hint="default" w:eastAsiaTheme="minorEastAsia"/>
                <w:color w:val="000000" w:themeColor="text1"/>
                <w:sz w:val="18"/>
                <w:szCs w:val="18"/>
                <w:lang w:val="en-US"/>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2.17</w:t>
            </w:r>
            <w:r>
              <w:rPr>
                <w:color w:val="000000" w:themeColor="text1"/>
                <w:sz w:val="18"/>
                <w:szCs w:val="18"/>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7" w:type="pct"/>
            <w:vMerge w:val="continue"/>
            <w:tcMar>
              <w:left w:w="57" w:type="dxa"/>
              <w:right w:w="57" w:type="dxa"/>
            </w:tcMar>
            <w:vAlign w:val="center"/>
          </w:tcPr>
          <w:p>
            <w:pPr>
              <w:adjustRightInd w:val="0"/>
              <w:snapToGrid w:val="0"/>
              <w:rPr>
                <w:rFonts w:eastAsiaTheme="minorEastAsia"/>
                <w:color w:val="000000" w:themeColor="text1"/>
                <w:sz w:val="18"/>
                <w:szCs w:val="18"/>
                <w14:textFill>
                  <w14:solidFill>
                    <w14:schemeClr w14:val="tx1"/>
                  </w14:solidFill>
                </w14:textFill>
              </w:rPr>
            </w:pPr>
          </w:p>
        </w:tc>
        <w:tc>
          <w:tcPr>
            <w:tcW w:w="569" w:type="pct"/>
            <w:gridSpan w:val="3"/>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实际总投资（万元）</w:t>
            </w:r>
          </w:p>
        </w:tc>
        <w:tc>
          <w:tcPr>
            <w:tcW w:w="1516" w:type="pct"/>
            <w:gridSpan w:val="6"/>
            <w:tcMar>
              <w:left w:w="57" w:type="dxa"/>
              <w:right w:w="57" w:type="dxa"/>
            </w:tcMar>
            <w:vAlign w:val="center"/>
          </w:tcPr>
          <w:p>
            <w:pPr>
              <w:adjustRightInd w:val="0"/>
              <w:snapToGrid w:val="0"/>
              <w:jc w:val="center"/>
              <w:rPr>
                <w:rFonts w:hint="default"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2300</w:t>
            </w:r>
          </w:p>
        </w:tc>
        <w:tc>
          <w:tcPr>
            <w:tcW w:w="564" w:type="pct"/>
            <w:gridSpan w:val="2"/>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实际环保投资（万元）</w:t>
            </w:r>
          </w:p>
        </w:tc>
        <w:tc>
          <w:tcPr>
            <w:tcW w:w="861" w:type="pct"/>
            <w:gridSpan w:val="2"/>
            <w:tcMar>
              <w:left w:w="57" w:type="dxa"/>
              <w:right w:w="57" w:type="dxa"/>
            </w:tcMar>
            <w:vAlign w:val="center"/>
          </w:tcPr>
          <w:p>
            <w:pPr>
              <w:adjustRightInd w:val="0"/>
              <w:snapToGrid w:val="0"/>
              <w:jc w:val="center"/>
              <w:rPr>
                <w:rFonts w:hint="default"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55</w:t>
            </w:r>
          </w:p>
        </w:tc>
        <w:tc>
          <w:tcPr>
            <w:tcW w:w="487" w:type="pct"/>
            <w:gridSpan w:val="2"/>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所占比例（%）</w:t>
            </w:r>
          </w:p>
        </w:tc>
        <w:tc>
          <w:tcPr>
            <w:tcW w:w="873" w:type="pct"/>
            <w:gridSpan w:val="4"/>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2.39</w:t>
            </w:r>
            <w:r>
              <w:rPr>
                <w:color w:val="000000" w:themeColor="text1"/>
                <w:sz w:val="18"/>
                <w:szCs w:val="18"/>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7" w:type="pct"/>
            <w:vMerge w:val="continue"/>
            <w:tcMar>
              <w:left w:w="57" w:type="dxa"/>
              <w:right w:w="57" w:type="dxa"/>
            </w:tcMar>
            <w:vAlign w:val="center"/>
          </w:tcPr>
          <w:p>
            <w:pPr>
              <w:adjustRightInd w:val="0"/>
              <w:snapToGrid w:val="0"/>
              <w:rPr>
                <w:rFonts w:eastAsiaTheme="minorEastAsia"/>
                <w:color w:val="000000" w:themeColor="text1"/>
                <w:sz w:val="18"/>
                <w:szCs w:val="18"/>
                <w14:textFill>
                  <w14:solidFill>
                    <w14:schemeClr w14:val="tx1"/>
                  </w14:solidFill>
                </w14:textFill>
              </w:rPr>
            </w:pPr>
          </w:p>
        </w:tc>
        <w:tc>
          <w:tcPr>
            <w:tcW w:w="569" w:type="pct"/>
            <w:gridSpan w:val="3"/>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废水治理（万元）</w:t>
            </w:r>
          </w:p>
        </w:tc>
        <w:tc>
          <w:tcPr>
            <w:tcW w:w="172" w:type="pct"/>
            <w:tcMar>
              <w:left w:w="57" w:type="dxa"/>
              <w:right w:w="57" w:type="dxa"/>
            </w:tcMar>
            <w:vAlign w:val="center"/>
          </w:tcPr>
          <w:p>
            <w:pPr>
              <w:adjustRightInd w:val="0"/>
              <w:snapToGrid w:val="0"/>
              <w:jc w:val="center"/>
              <w:rPr>
                <w:rFonts w:hint="default"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20</w:t>
            </w:r>
          </w:p>
        </w:tc>
        <w:tc>
          <w:tcPr>
            <w:tcW w:w="428" w:type="pct"/>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废气治理（万元）</w:t>
            </w:r>
          </w:p>
        </w:tc>
        <w:tc>
          <w:tcPr>
            <w:tcW w:w="339" w:type="pct"/>
            <w:tcMar>
              <w:left w:w="57" w:type="dxa"/>
              <w:right w:w="57" w:type="dxa"/>
            </w:tcMar>
            <w:vAlign w:val="center"/>
          </w:tcPr>
          <w:p>
            <w:pPr>
              <w:adjustRightInd w:val="0"/>
              <w:snapToGrid w:val="0"/>
              <w:jc w:val="center"/>
              <w:rPr>
                <w:rFonts w:hint="default"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15</w:t>
            </w:r>
          </w:p>
        </w:tc>
        <w:tc>
          <w:tcPr>
            <w:tcW w:w="364" w:type="pct"/>
            <w:gridSpan w:val="2"/>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噪声治理</w:t>
            </w:r>
          </w:p>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（万元）</w:t>
            </w:r>
          </w:p>
        </w:tc>
        <w:tc>
          <w:tcPr>
            <w:tcW w:w="211" w:type="pct"/>
            <w:tcMar>
              <w:left w:w="57" w:type="dxa"/>
              <w:right w:w="57" w:type="dxa"/>
            </w:tcMar>
            <w:vAlign w:val="center"/>
          </w:tcPr>
          <w:p>
            <w:pPr>
              <w:adjustRightInd w:val="0"/>
              <w:snapToGrid w:val="0"/>
              <w:jc w:val="center"/>
              <w:rPr>
                <w:rFonts w:hint="default"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4</w:t>
            </w:r>
          </w:p>
        </w:tc>
        <w:tc>
          <w:tcPr>
            <w:tcW w:w="564" w:type="pct"/>
            <w:gridSpan w:val="2"/>
            <w:tcMar>
              <w:left w:w="57" w:type="dxa"/>
              <w:right w:w="57" w:type="dxa"/>
            </w:tcMar>
            <w:vAlign w:val="center"/>
          </w:tcPr>
          <w:p>
            <w:pPr>
              <w:adjustRightInd w:val="0"/>
              <w:snapToGrid w:val="0"/>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固体废物治理（万元）</w:t>
            </w:r>
          </w:p>
        </w:tc>
        <w:tc>
          <w:tcPr>
            <w:tcW w:w="861" w:type="pct"/>
            <w:gridSpan w:val="2"/>
            <w:tcMar>
              <w:left w:w="57" w:type="dxa"/>
              <w:right w:w="57" w:type="dxa"/>
            </w:tcMar>
            <w:vAlign w:val="center"/>
          </w:tcPr>
          <w:p>
            <w:pPr>
              <w:adjustRightInd w:val="0"/>
              <w:snapToGrid w:val="0"/>
              <w:jc w:val="center"/>
              <w:rPr>
                <w:rFonts w:hint="default"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10</w:t>
            </w:r>
          </w:p>
        </w:tc>
        <w:tc>
          <w:tcPr>
            <w:tcW w:w="487" w:type="pct"/>
            <w:gridSpan w:val="2"/>
            <w:tcMar>
              <w:left w:w="57" w:type="dxa"/>
              <w:right w:w="57" w:type="dxa"/>
            </w:tcMar>
            <w:vAlign w:val="center"/>
          </w:tcPr>
          <w:p>
            <w:pPr>
              <w:adjustRightInd w:val="0"/>
              <w:snapToGrid w:val="0"/>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绿化及生态（万元）</w:t>
            </w:r>
          </w:p>
        </w:tc>
        <w:tc>
          <w:tcPr>
            <w:tcW w:w="200" w:type="pct"/>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w:t>
            </w:r>
          </w:p>
        </w:tc>
        <w:tc>
          <w:tcPr>
            <w:tcW w:w="358" w:type="pct"/>
            <w:gridSpan w:val="2"/>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其他（万元）</w:t>
            </w:r>
          </w:p>
        </w:tc>
        <w:tc>
          <w:tcPr>
            <w:tcW w:w="313" w:type="pct"/>
            <w:tcMar>
              <w:left w:w="57" w:type="dxa"/>
              <w:right w:w="57" w:type="dxa"/>
            </w:tcMar>
            <w:vAlign w:val="center"/>
          </w:tcPr>
          <w:p>
            <w:pPr>
              <w:adjustRightInd w:val="0"/>
              <w:snapToGrid w:val="0"/>
              <w:jc w:val="center"/>
              <w:rPr>
                <w:rFonts w:hint="default"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7" w:type="pct"/>
            <w:vMerge w:val="continue"/>
            <w:tcMar>
              <w:left w:w="57" w:type="dxa"/>
              <w:right w:w="57" w:type="dxa"/>
            </w:tcMar>
            <w:vAlign w:val="center"/>
          </w:tcPr>
          <w:p>
            <w:pPr>
              <w:adjustRightInd w:val="0"/>
              <w:snapToGrid w:val="0"/>
              <w:rPr>
                <w:rFonts w:eastAsiaTheme="minorEastAsia"/>
                <w:color w:val="000000" w:themeColor="text1"/>
                <w:sz w:val="18"/>
                <w:szCs w:val="18"/>
                <w14:textFill>
                  <w14:solidFill>
                    <w14:schemeClr w14:val="tx1"/>
                  </w14:solidFill>
                </w14:textFill>
              </w:rPr>
            </w:pPr>
          </w:p>
        </w:tc>
        <w:tc>
          <w:tcPr>
            <w:tcW w:w="569" w:type="pct"/>
            <w:gridSpan w:val="3"/>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新增废水处理设施能力</w:t>
            </w:r>
          </w:p>
        </w:tc>
        <w:tc>
          <w:tcPr>
            <w:tcW w:w="1516" w:type="pct"/>
            <w:gridSpan w:val="6"/>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w:t>
            </w:r>
          </w:p>
        </w:tc>
        <w:tc>
          <w:tcPr>
            <w:tcW w:w="564" w:type="pct"/>
            <w:gridSpan w:val="2"/>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新增废气</w:t>
            </w:r>
          </w:p>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处理设施能力</w:t>
            </w:r>
          </w:p>
        </w:tc>
        <w:tc>
          <w:tcPr>
            <w:tcW w:w="861" w:type="pct"/>
            <w:gridSpan w:val="2"/>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w:t>
            </w:r>
          </w:p>
        </w:tc>
        <w:tc>
          <w:tcPr>
            <w:tcW w:w="487" w:type="pct"/>
            <w:gridSpan w:val="2"/>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年平均工作时</w:t>
            </w:r>
          </w:p>
        </w:tc>
        <w:tc>
          <w:tcPr>
            <w:tcW w:w="873" w:type="pct"/>
            <w:gridSpan w:val="4"/>
            <w:tcMar>
              <w:left w:w="57" w:type="dxa"/>
              <w:right w:w="57" w:type="dxa"/>
            </w:tcMar>
            <w:vAlign w:val="center"/>
          </w:tcPr>
          <w:p>
            <w:pPr>
              <w:adjustRightInd w:val="0"/>
              <w:snapToGrid w:val="0"/>
              <w:jc w:val="center"/>
              <w:rPr>
                <w:rFonts w:hint="eastAsia"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员工：2400</w:t>
            </w:r>
          </w:p>
          <w:p>
            <w:pPr>
              <w:pStyle w:val="2"/>
              <w:rPr>
                <w:rFonts w:hint="default"/>
                <w:color w:val="000000" w:themeColor="text1"/>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培养系统：8760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696" w:type="pct"/>
            <w:gridSpan w:val="4"/>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运营单位</w:t>
            </w:r>
          </w:p>
        </w:tc>
        <w:tc>
          <w:tcPr>
            <w:tcW w:w="1192" w:type="pct"/>
            <w:gridSpan w:val="4"/>
            <w:tcMar>
              <w:left w:w="57" w:type="dxa"/>
              <w:right w:w="57" w:type="dxa"/>
            </w:tcMar>
            <w:vAlign w:val="center"/>
          </w:tcPr>
          <w:p>
            <w:pPr>
              <w:adjustRightInd w:val="0"/>
              <w:snapToGrid w:val="0"/>
              <w:jc w:val="center"/>
              <w:rPr>
                <w:rFonts w:hint="eastAsia" w:eastAsiaTheme="minorEastAsia"/>
                <w:color w:val="000000" w:themeColor="text1"/>
                <w:sz w:val="18"/>
                <w:szCs w:val="18"/>
                <w:lang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中山大学南昌研究院</w:t>
            </w:r>
          </w:p>
        </w:tc>
        <w:tc>
          <w:tcPr>
            <w:tcW w:w="983" w:type="pct"/>
            <w:gridSpan w:val="5"/>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运营单位社会统一信用代码</w:t>
            </w:r>
          </w:p>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（或组织机构代码）</w:t>
            </w:r>
          </w:p>
        </w:tc>
        <w:tc>
          <w:tcPr>
            <w:tcW w:w="765" w:type="pct"/>
            <w:tcMar>
              <w:left w:w="57" w:type="dxa"/>
              <w:right w:w="57" w:type="dxa"/>
            </w:tcMar>
            <w:vAlign w:val="center"/>
          </w:tcPr>
          <w:p>
            <w:pPr>
              <w:adjustRightInd w:val="0"/>
              <w:snapToGrid w:val="0"/>
              <w:ind w:left="-105" w:leftChars="-50" w:right="-105" w:rightChars="-50"/>
              <w:jc w:val="center"/>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12360100MB1A46229K</w:t>
            </w:r>
          </w:p>
        </w:tc>
        <w:tc>
          <w:tcPr>
            <w:tcW w:w="487" w:type="pct"/>
            <w:gridSpan w:val="2"/>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验收时间</w:t>
            </w:r>
          </w:p>
        </w:tc>
        <w:tc>
          <w:tcPr>
            <w:tcW w:w="873" w:type="pct"/>
            <w:gridSpan w:val="4"/>
            <w:tcMar>
              <w:left w:w="57" w:type="dxa"/>
              <w:right w:w="57" w:type="dxa"/>
            </w:tcMar>
            <w:vAlign w:val="center"/>
          </w:tcPr>
          <w:p>
            <w:pPr>
              <w:adjustRightInd w:val="0"/>
              <w:snapToGrid w:val="0"/>
              <w:jc w:val="center"/>
              <w:rPr>
                <w:rFonts w:hint="default"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highlight w:val="none"/>
                <w14:textFill>
                  <w14:solidFill>
                    <w14:schemeClr w14:val="tx1"/>
                  </w14:solidFill>
                </w14:textFill>
              </w:rPr>
              <w:t>20</w:t>
            </w:r>
            <w:r>
              <w:rPr>
                <w:rFonts w:hint="eastAsia" w:eastAsiaTheme="minorEastAsia"/>
                <w:color w:val="000000" w:themeColor="text1"/>
                <w:sz w:val="18"/>
                <w:szCs w:val="18"/>
                <w:highlight w:val="none"/>
                <w:lang w:val="en-US" w:eastAsia="zh-CN"/>
                <w14:textFill>
                  <w14:solidFill>
                    <w14:schemeClr w14:val="tx1"/>
                  </w14:solidFill>
                </w14:textFill>
              </w:rPr>
              <w:t>24.4~2024.5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4" w:type="pct"/>
            <w:gridSpan w:val="2"/>
            <w:vMerge w:val="restart"/>
            <w:tcMar>
              <w:left w:w="57" w:type="dxa"/>
              <w:right w:w="57" w:type="dxa"/>
            </w:tcMar>
            <w:vAlign w:val="center"/>
          </w:tcPr>
          <w:p>
            <w:pPr>
              <w:adjustRightInd w:val="0"/>
              <w:snapToGrid w:val="0"/>
              <w:jc w:val="left"/>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污染</w:t>
            </w:r>
          </w:p>
          <w:p>
            <w:pPr>
              <w:adjustRightInd w:val="0"/>
              <w:snapToGrid w:val="0"/>
              <w:jc w:val="left"/>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物排</w:t>
            </w:r>
          </w:p>
          <w:p>
            <w:pPr>
              <w:adjustRightInd w:val="0"/>
              <w:snapToGrid w:val="0"/>
              <w:jc w:val="left"/>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放达</w:t>
            </w:r>
          </w:p>
          <w:p>
            <w:pPr>
              <w:adjustRightInd w:val="0"/>
              <w:snapToGrid w:val="0"/>
              <w:jc w:val="left"/>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标与</w:t>
            </w:r>
          </w:p>
          <w:p>
            <w:pPr>
              <w:adjustRightInd w:val="0"/>
              <w:snapToGrid w:val="0"/>
              <w:jc w:val="left"/>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总量</w:t>
            </w:r>
          </w:p>
          <w:p>
            <w:pPr>
              <w:adjustRightInd w:val="0"/>
              <w:snapToGrid w:val="0"/>
              <w:jc w:val="left"/>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控制（工</w:t>
            </w:r>
          </w:p>
          <w:p>
            <w:pPr>
              <w:adjustRightInd w:val="0"/>
              <w:snapToGrid w:val="0"/>
              <w:jc w:val="left"/>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业建</w:t>
            </w:r>
          </w:p>
          <w:p>
            <w:pPr>
              <w:adjustRightInd w:val="0"/>
              <w:snapToGrid w:val="0"/>
              <w:jc w:val="left"/>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设项</w:t>
            </w:r>
          </w:p>
          <w:p>
            <w:pPr>
              <w:adjustRightInd w:val="0"/>
              <w:snapToGrid w:val="0"/>
              <w:jc w:val="left"/>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目详填）</w:t>
            </w:r>
          </w:p>
        </w:tc>
        <w:tc>
          <w:tcPr>
            <w:tcW w:w="522" w:type="pct"/>
            <w:gridSpan w:val="2"/>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污染物</w:t>
            </w:r>
          </w:p>
        </w:tc>
        <w:tc>
          <w:tcPr>
            <w:tcW w:w="172" w:type="pct"/>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原有排放量(1)</w:t>
            </w:r>
          </w:p>
        </w:tc>
        <w:tc>
          <w:tcPr>
            <w:tcW w:w="428" w:type="pct"/>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本期工程实际排放浓度(2)</w:t>
            </w:r>
          </w:p>
        </w:tc>
        <w:tc>
          <w:tcPr>
            <w:tcW w:w="339" w:type="pct"/>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本期工程允许排放浓度(3)</w:t>
            </w:r>
          </w:p>
        </w:tc>
        <w:tc>
          <w:tcPr>
            <w:tcW w:w="252" w:type="pct"/>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本期工程产生量(4)</w:t>
            </w:r>
          </w:p>
        </w:tc>
        <w:tc>
          <w:tcPr>
            <w:tcW w:w="323" w:type="pct"/>
            <w:gridSpan w:val="2"/>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本期工程自身削减量(5)</w:t>
            </w:r>
          </w:p>
        </w:tc>
        <w:tc>
          <w:tcPr>
            <w:tcW w:w="418" w:type="pct"/>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本期工程</w:t>
            </w:r>
          </w:p>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实际排放量(6)</w:t>
            </w:r>
          </w:p>
        </w:tc>
        <w:tc>
          <w:tcPr>
            <w:tcW w:w="241" w:type="pct"/>
            <w:gridSpan w:val="2"/>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本期工程核定排放总量(7)</w:t>
            </w:r>
          </w:p>
        </w:tc>
        <w:tc>
          <w:tcPr>
            <w:tcW w:w="765" w:type="pct"/>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本期工程“以新带老”削减量(8)</w:t>
            </w:r>
          </w:p>
        </w:tc>
        <w:tc>
          <w:tcPr>
            <w:tcW w:w="310" w:type="pct"/>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全厂实际排放总量(9)</w:t>
            </w:r>
          </w:p>
        </w:tc>
        <w:tc>
          <w:tcPr>
            <w:tcW w:w="378" w:type="pct"/>
            <w:gridSpan w:val="2"/>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全厂核定排放总量(10)</w:t>
            </w:r>
          </w:p>
        </w:tc>
        <w:tc>
          <w:tcPr>
            <w:tcW w:w="358" w:type="pct"/>
            <w:gridSpan w:val="2"/>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区域平衡替代削减量(11)</w:t>
            </w:r>
          </w:p>
        </w:tc>
        <w:tc>
          <w:tcPr>
            <w:tcW w:w="313" w:type="pct"/>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4" w:type="pct"/>
            <w:gridSpan w:val="2"/>
            <w:vMerge w:val="continue"/>
            <w:tcMar>
              <w:left w:w="57" w:type="dxa"/>
              <w:right w:w="57" w:type="dxa"/>
            </w:tcMar>
          </w:tcPr>
          <w:p>
            <w:pPr>
              <w:adjustRightInd w:val="0"/>
              <w:snapToGrid w:val="0"/>
              <w:rPr>
                <w:rFonts w:eastAsiaTheme="minorEastAsia"/>
                <w:color w:val="000000" w:themeColor="text1"/>
                <w:sz w:val="18"/>
                <w:szCs w:val="18"/>
                <w14:textFill>
                  <w14:solidFill>
                    <w14:schemeClr w14:val="tx1"/>
                  </w14:solidFill>
                </w14:textFill>
              </w:rPr>
            </w:pPr>
          </w:p>
        </w:tc>
        <w:tc>
          <w:tcPr>
            <w:tcW w:w="522" w:type="pct"/>
            <w:gridSpan w:val="2"/>
            <w:tcMar>
              <w:left w:w="57" w:type="dxa"/>
              <w:right w:w="57" w:type="dxa"/>
            </w:tcMar>
            <w:vAlign w:val="center"/>
          </w:tcPr>
          <w:p>
            <w:pPr>
              <w:adjustRightInd w:val="0"/>
              <w:snapToGrid w:val="0"/>
              <w:jc w:val="center"/>
              <w:rPr>
                <w:rFonts w:eastAsiaTheme="minorEastAsia"/>
                <w:b/>
                <w:color w:val="000000" w:themeColor="text1"/>
                <w:sz w:val="18"/>
                <w:szCs w:val="18"/>
                <w:highlight w:val="none"/>
                <w14:textFill>
                  <w14:solidFill>
                    <w14:schemeClr w14:val="tx1"/>
                  </w14:solidFill>
                </w14:textFill>
              </w:rPr>
            </w:pPr>
            <w:r>
              <w:rPr>
                <w:rFonts w:hint="eastAsia" w:eastAsiaTheme="minorEastAsia"/>
                <w:b/>
                <w:color w:val="000000" w:themeColor="text1"/>
                <w:sz w:val="18"/>
                <w:szCs w:val="18"/>
                <w:highlight w:val="none"/>
                <w14:textFill>
                  <w14:solidFill>
                    <w14:schemeClr w14:val="tx1"/>
                  </w14:solidFill>
                </w14:textFill>
              </w:rPr>
              <w:t>非甲烷总烃</w:t>
            </w:r>
          </w:p>
        </w:tc>
        <w:tc>
          <w:tcPr>
            <w:tcW w:w="172" w:type="pct"/>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428" w:type="pct"/>
            <w:tcMar>
              <w:left w:w="57" w:type="dxa"/>
              <w:right w:w="57" w:type="dxa"/>
            </w:tcMar>
            <w:vAlign w:val="center"/>
          </w:tcPr>
          <w:p>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8.235</w:t>
            </w:r>
          </w:p>
        </w:tc>
        <w:tc>
          <w:tcPr>
            <w:tcW w:w="339" w:type="pct"/>
            <w:tcMar>
              <w:left w:w="57" w:type="dxa"/>
              <w:right w:w="57" w:type="dxa"/>
            </w:tcMar>
            <w:vAlign w:val="center"/>
          </w:tcPr>
          <w:p>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120</w:t>
            </w:r>
          </w:p>
        </w:tc>
        <w:tc>
          <w:tcPr>
            <w:tcW w:w="252" w:type="pct"/>
            <w:tcMar>
              <w:left w:w="57" w:type="dxa"/>
              <w:right w:w="57" w:type="dxa"/>
            </w:tcMar>
            <w:vAlign w:val="center"/>
          </w:tcPr>
          <w:p>
            <w:pPr>
              <w:adjustRightInd w:val="0"/>
              <w:snapToGrid w:val="0"/>
              <w:jc w:val="center"/>
              <w:rPr>
                <w:rFonts w:hint="eastAsia"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323" w:type="pct"/>
            <w:gridSpan w:val="2"/>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418" w:type="pct"/>
            <w:tcMar>
              <w:left w:w="57" w:type="dxa"/>
              <w:right w:w="57" w:type="dxa"/>
            </w:tcMar>
            <w:vAlign w:val="center"/>
          </w:tcPr>
          <w:p>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0.115</w:t>
            </w:r>
          </w:p>
        </w:tc>
        <w:tc>
          <w:tcPr>
            <w:tcW w:w="241" w:type="pct"/>
            <w:gridSpan w:val="2"/>
            <w:tcMar>
              <w:left w:w="57" w:type="dxa"/>
              <w:right w:w="57" w:type="dxa"/>
            </w:tcMar>
            <w:vAlign w:val="center"/>
          </w:tcPr>
          <w:p>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0.613</w:t>
            </w:r>
          </w:p>
        </w:tc>
        <w:tc>
          <w:tcPr>
            <w:tcW w:w="765" w:type="pct"/>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875" w:type="dxa"/>
            <w:tcMar>
              <w:left w:w="57" w:type="dxa"/>
              <w:right w:w="57" w:type="dxa"/>
            </w:tcMar>
            <w:vAlign w:val="center"/>
          </w:tcPr>
          <w:p>
            <w:pPr>
              <w:adjustRightInd w:val="0"/>
              <w:snapToGrid w:val="0"/>
              <w:jc w:val="center"/>
              <w:rPr>
                <w:rFonts w:hint="default" w:eastAsiaTheme="minorEastAsia"/>
                <w:color w:val="000000" w:themeColor="text1"/>
                <w:sz w:val="18"/>
                <w:szCs w:val="18"/>
                <w:highlight w:val="none"/>
                <w:lang w:val="en-US"/>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0.115</w:t>
            </w:r>
          </w:p>
        </w:tc>
        <w:tc>
          <w:tcPr>
            <w:tcW w:w="1068" w:type="dxa"/>
            <w:gridSpan w:val="2"/>
            <w:tcMar>
              <w:left w:w="57" w:type="dxa"/>
              <w:right w:w="57" w:type="dxa"/>
            </w:tcMar>
            <w:vAlign w:val="center"/>
          </w:tcPr>
          <w:p>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0.613</w:t>
            </w:r>
          </w:p>
        </w:tc>
        <w:tc>
          <w:tcPr>
            <w:tcW w:w="358" w:type="pct"/>
            <w:gridSpan w:val="2"/>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313" w:type="pct"/>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4" w:type="pct"/>
            <w:gridSpan w:val="2"/>
            <w:vMerge w:val="continue"/>
            <w:tcMar>
              <w:left w:w="57" w:type="dxa"/>
              <w:right w:w="57" w:type="dxa"/>
            </w:tcMar>
          </w:tcPr>
          <w:p>
            <w:pPr>
              <w:adjustRightInd w:val="0"/>
              <w:snapToGrid w:val="0"/>
              <w:rPr>
                <w:rFonts w:eastAsiaTheme="minorEastAsia"/>
                <w:color w:val="000000" w:themeColor="text1"/>
                <w:sz w:val="18"/>
                <w:szCs w:val="18"/>
                <w14:textFill>
                  <w14:solidFill>
                    <w14:schemeClr w14:val="tx1"/>
                  </w14:solidFill>
                </w14:textFill>
              </w:rPr>
            </w:pPr>
          </w:p>
        </w:tc>
        <w:tc>
          <w:tcPr>
            <w:tcW w:w="522" w:type="pct"/>
            <w:gridSpan w:val="2"/>
            <w:tcMar>
              <w:left w:w="57" w:type="dxa"/>
              <w:right w:w="57" w:type="dxa"/>
            </w:tcMar>
            <w:vAlign w:val="center"/>
          </w:tcPr>
          <w:p>
            <w:pPr>
              <w:adjustRightInd w:val="0"/>
              <w:snapToGrid w:val="0"/>
              <w:jc w:val="center"/>
              <w:rPr>
                <w:rFonts w:eastAsiaTheme="minorEastAsia"/>
                <w:b/>
                <w:color w:val="000000" w:themeColor="text1"/>
                <w:sz w:val="18"/>
                <w:szCs w:val="18"/>
                <w:highlight w:val="none"/>
                <w14:textFill>
                  <w14:solidFill>
                    <w14:schemeClr w14:val="tx1"/>
                  </w14:solidFill>
                </w14:textFill>
              </w:rPr>
            </w:pPr>
            <w:r>
              <w:rPr>
                <w:rFonts w:hint="eastAsia" w:eastAsiaTheme="minorEastAsia"/>
                <w:b/>
                <w:color w:val="000000" w:themeColor="text1"/>
                <w:sz w:val="18"/>
                <w:szCs w:val="18"/>
                <w:highlight w:val="none"/>
                <w14:textFill>
                  <w14:solidFill>
                    <w14:schemeClr w14:val="tx1"/>
                  </w14:solidFill>
                </w14:textFill>
              </w:rPr>
              <w:t>CODcr</w:t>
            </w:r>
          </w:p>
        </w:tc>
        <w:tc>
          <w:tcPr>
            <w:tcW w:w="172" w:type="pct"/>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428" w:type="pct"/>
            <w:tcMar>
              <w:left w:w="57" w:type="dxa"/>
              <w:right w:w="57" w:type="dxa"/>
            </w:tcMar>
            <w:vAlign w:val="center"/>
          </w:tcPr>
          <w:p>
            <w:pPr>
              <w:adjustRightInd w:val="0"/>
              <w:snapToGrid w:val="0"/>
              <w:jc w:val="center"/>
              <w:rPr>
                <w:rFonts w:hint="default"/>
                <w:color w:val="000000" w:themeColor="text1"/>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34.125</w:t>
            </w:r>
          </w:p>
        </w:tc>
        <w:tc>
          <w:tcPr>
            <w:tcW w:w="339" w:type="pct"/>
            <w:tcMar>
              <w:left w:w="57" w:type="dxa"/>
              <w:right w:w="57" w:type="dxa"/>
            </w:tcMar>
            <w:vAlign w:val="center"/>
          </w:tcPr>
          <w:p>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300</w:t>
            </w:r>
          </w:p>
        </w:tc>
        <w:tc>
          <w:tcPr>
            <w:tcW w:w="252" w:type="pct"/>
            <w:tcMar>
              <w:left w:w="57" w:type="dxa"/>
              <w:right w:w="57" w:type="dxa"/>
            </w:tcMar>
            <w:vAlign w:val="center"/>
          </w:tcPr>
          <w:p>
            <w:pPr>
              <w:adjustRightInd w:val="0"/>
              <w:snapToGrid w:val="0"/>
              <w:jc w:val="center"/>
              <w:rPr>
                <w:rFonts w:hint="eastAsia"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323" w:type="pct"/>
            <w:gridSpan w:val="2"/>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418" w:type="pct"/>
            <w:tcMar>
              <w:left w:w="57" w:type="dxa"/>
              <w:right w:w="57" w:type="dxa"/>
            </w:tcMar>
            <w:vAlign w:val="center"/>
          </w:tcPr>
          <w:p>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0.053</w:t>
            </w:r>
          </w:p>
        </w:tc>
        <w:tc>
          <w:tcPr>
            <w:tcW w:w="241" w:type="pct"/>
            <w:gridSpan w:val="2"/>
            <w:tcMar>
              <w:left w:w="57" w:type="dxa"/>
              <w:right w:w="57" w:type="dxa"/>
            </w:tcMar>
            <w:vAlign w:val="center"/>
          </w:tcPr>
          <w:p>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0.08</w:t>
            </w:r>
          </w:p>
        </w:tc>
        <w:tc>
          <w:tcPr>
            <w:tcW w:w="765" w:type="pct"/>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875" w:type="dxa"/>
            <w:tcMar>
              <w:left w:w="57" w:type="dxa"/>
              <w:right w:w="57" w:type="dxa"/>
            </w:tcMar>
            <w:vAlign w:val="center"/>
          </w:tcPr>
          <w:p>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0.053</w:t>
            </w:r>
          </w:p>
        </w:tc>
        <w:tc>
          <w:tcPr>
            <w:tcW w:w="1068" w:type="dxa"/>
            <w:gridSpan w:val="2"/>
            <w:tcMar>
              <w:left w:w="57" w:type="dxa"/>
              <w:right w:w="57" w:type="dxa"/>
            </w:tcMar>
            <w:vAlign w:val="center"/>
          </w:tcPr>
          <w:p>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0.08</w:t>
            </w:r>
          </w:p>
        </w:tc>
        <w:tc>
          <w:tcPr>
            <w:tcW w:w="358" w:type="pct"/>
            <w:gridSpan w:val="2"/>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313" w:type="pct"/>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4" w:type="pct"/>
            <w:gridSpan w:val="2"/>
            <w:vMerge w:val="continue"/>
            <w:tcMar>
              <w:left w:w="57" w:type="dxa"/>
              <w:right w:w="57" w:type="dxa"/>
            </w:tcMar>
          </w:tcPr>
          <w:p>
            <w:pPr>
              <w:adjustRightInd w:val="0"/>
              <w:snapToGrid w:val="0"/>
              <w:rPr>
                <w:rFonts w:eastAsiaTheme="minorEastAsia"/>
                <w:color w:val="000000" w:themeColor="text1"/>
                <w:sz w:val="18"/>
                <w:szCs w:val="18"/>
                <w14:textFill>
                  <w14:solidFill>
                    <w14:schemeClr w14:val="tx1"/>
                  </w14:solidFill>
                </w14:textFill>
              </w:rPr>
            </w:pPr>
          </w:p>
        </w:tc>
        <w:tc>
          <w:tcPr>
            <w:tcW w:w="522" w:type="pct"/>
            <w:gridSpan w:val="2"/>
            <w:tcMar>
              <w:left w:w="57" w:type="dxa"/>
              <w:right w:w="57" w:type="dxa"/>
            </w:tcMar>
            <w:vAlign w:val="center"/>
          </w:tcPr>
          <w:p>
            <w:pPr>
              <w:adjustRightInd w:val="0"/>
              <w:snapToGrid w:val="0"/>
              <w:jc w:val="center"/>
              <w:rPr>
                <w:rFonts w:eastAsiaTheme="minorEastAsia"/>
                <w:b/>
                <w:color w:val="000000" w:themeColor="text1"/>
                <w:sz w:val="18"/>
                <w:szCs w:val="18"/>
                <w:highlight w:val="none"/>
                <w14:textFill>
                  <w14:solidFill>
                    <w14:schemeClr w14:val="tx1"/>
                  </w14:solidFill>
                </w14:textFill>
              </w:rPr>
            </w:pPr>
            <w:r>
              <w:rPr>
                <w:rFonts w:hint="eastAsia" w:eastAsiaTheme="minorEastAsia"/>
                <w:b/>
                <w:color w:val="000000" w:themeColor="text1"/>
                <w:sz w:val="18"/>
                <w:szCs w:val="18"/>
                <w:highlight w:val="none"/>
                <w14:textFill>
                  <w14:solidFill>
                    <w14:schemeClr w14:val="tx1"/>
                  </w14:solidFill>
                </w14:textFill>
              </w:rPr>
              <w:t>氨氮</w:t>
            </w:r>
          </w:p>
        </w:tc>
        <w:tc>
          <w:tcPr>
            <w:tcW w:w="172" w:type="pct"/>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428" w:type="pct"/>
            <w:tcMar>
              <w:left w:w="57" w:type="dxa"/>
              <w:right w:w="57" w:type="dxa"/>
            </w:tcMar>
            <w:vAlign w:val="center"/>
          </w:tcPr>
          <w:p>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2.49125</w:t>
            </w:r>
          </w:p>
        </w:tc>
        <w:tc>
          <w:tcPr>
            <w:tcW w:w="339" w:type="pct"/>
            <w:tcMar>
              <w:left w:w="57" w:type="dxa"/>
              <w:right w:w="57" w:type="dxa"/>
            </w:tcMar>
            <w:vAlign w:val="center"/>
          </w:tcPr>
          <w:p>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25</w:t>
            </w:r>
          </w:p>
        </w:tc>
        <w:tc>
          <w:tcPr>
            <w:tcW w:w="252" w:type="pct"/>
            <w:tcMar>
              <w:left w:w="57" w:type="dxa"/>
              <w:right w:w="57" w:type="dxa"/>
            </w:tcMar>
            <w:vAlign w:val="center"/>
          </w:tcPr>
          <w:p>
            <w:pPr>
              <w:adjustRightInd w:val="0"/>
              <w:snapToGrid w:val="0"/>
              <w:jc w:val="center"/>
              <w:rPr>
                <w:rFonts w:hint="eastAsia" w:eastAsiaTheme="minorEastAsia"/>
                <w:color w:val="000000" w:themeColor="text1"/>
                <w:sz w:val="18"/>
                <w:szCs w:val="18"/>
                <w:highlight w:val="none"/>
                <w:lang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323" w:type="pct"/>
            <w:gridSpan w:val="2"/>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418" w:type="pct"/>
            <w:tcMar>
              <w:left w:w="57" w:type="dxa"/>
              <w:right w:w="57" w:type="dxa"/>
            </w:tcMar>
            <w:vAlign w:val="center"/>
          </w:tcPr>
          <w:p>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0.004</w:t>
            </w:r>
          </w:p>
        </w:tc>
        <w:tc>
          <w:tcPr>
            <w:tcW w:w="241" w:type="pct"/>
            <w:gridSpan w:val="2"/>
            <w:tcMar>
              <w:left w:w="57" w:type="dxa"/>
              <w:right w:w="57" w:type="dxa"/>
            </w:tcMar>
            <w:vAlign w:val="center"/>
          </w:tcPr>
          <w:p>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0.01</w:t>
            </w:r>
          </w:p>
        </w:tc>
        <w:tc>
          <w:tcPr>
            <w:tcW w:w="765" w:type="pct"/>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875" w:type="dxa"/>
            <w:tcMar>
              <w:left w:w="57" w:type="dxa"/>
              <w:right w:w="57" w:type="dxa"/>
            </w:tcMar>
            <w:vAlign w:val="center"/>
          </w:tcPr>
          <w:p>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0.004</w:t>
            </w:r>
          </w:p>
        </w:tc>
        <w:tc>
          <w:tcPr>
            <w:tcW w:w="1068" w:type="dxa"/>
            <w:gridSpan w:val="2"/>
            <w:tcMar>
              <w:left w:w="57" w:type="dxa"/>
              <w:right w:w="57" w:type="dxa"/>
            </w:tcMar>
            <w:vAlign w:val="center"/>
          </w:tcPr>
          <w:p>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0.01</w:t>
            </w:r>
          </w:p>
        </w:tc>
        <w:tc>
          <w:tcPr>
            <w:tcW w:w="358" w:type="pct"/>
            <w:gridSpan w:val="2"/>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313" w:type="pct"/>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4" w:type="pct"/>
            <w:gridSpan w:val="2"/>
            <w:vMerge w:val="continue"/>
            <w:tcMar>
              <w:left w:w="57" w:type="dxa"/>
              <w:right w:w="57" w:type="dxa"/>
            </w:tcMar>
          </w:tcPr>
          <w:p>
            <w:pPr>
              <w:adjustRightInd w:val="0"/>
              <w:snapToGrid w:val="0"/>
              <w:rPr>
                <w:rFonts w:eastAsiaTheme="minorEastAsia"/>
                <w:color w:val="000000" w:themeColor="text1"/>
                <w:sz w:val="18"/>
                <w:szCs w:val="18"/>
                <w14:textFill>
                  <w14:solidFill>
                    <w14:schemeClr w14:val="tx1"/>
                  </w14:solidFill>
                </w14:textFill>
              </w:rPr>
            </w:pPr>
          </w:p>
        </w:tc>
        <w:tc>
          <w:tcPr>
            <w:tcW w:w="316" w:type="pct"/>
            <w:vMerge w:val="restart"/>
            <w:tcMar>
              <w:left w:w="57" w:type="dxa"/>
              <w:right w:w="57" w:type="dxa"/>
            </w:tcMar>
            <w:vAlign w:val="center"/>
          </w:tcPr>
          <w:p>
            <w:pPr>
              <w:adjustRightInd w:val="0"/>
              <w:snapToGrid w:val="0"/>
              <w:rPr>
                <w:rFonts w:eastAsiaTheme="minorEastAsia"/>
                <w:color w:val="000000" w:themeColor="text1"/>
                <w:sz w:val="18"/>
                <w:szCs w:val="18"/>
                <w:highlight w:val="none"/>
                <w14:textFill>
                  <w14:solidFill>
                    <w14:schemeClr w14:val="tx1"/>
                  </w14:solidFill>
                </w14:textFill>
              </w:rPr>
            </w:pPr>
            <w:r>
              <w:rPr>
                <w:rFonts w:eastAsiaTheme="minorEastAsia"/>
                <w:b/>
                <w:color w:val="000000" w:themeColor="text1"/>
                <w:sz w:val="18"/>
                <w:szCs w:val="18"/>
                <w:highlight w:val="none"/>
                <w14:textFill>
                  <w14:solidFill>
                    <w14:schemeClr w14:val="tx1"/>
                  </w14:solidFill>
                </w14:textFill>
              </w:rPr>
              <w:t>与项目有关的其他特征污染物</w:t>
            </w:r>
          </w:p>
        </w:tc>
        <w:tc>
          <w:tcPr>
            <w:tcW w:w="206" w:type="pct"/>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172" w:type="pct"/>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428" w:type="pct"/>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339" w:type="pct"/>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252" w:type="pct"/>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323" w:type="pct"/>
            <w:gridSpan w:val="2"/>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418" w:type="pct"/>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241" w:type="pct"/>
            <w:gridSpan w:val="2"/>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765" w:type="pct"/>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310" w:type="pct"/>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378" w:type="pct"/>
            <w:gridSpan w:val="2"/>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358" w:type="pct"/>
            <w:gridSpan w:val="2"/>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313" w:type="pct"/>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4" w:type="pct"/>
            <w:gridSpan w:val="2"/>
            <w:vMerge w:val="continue"/>
            <w:tcMar>
              <w:left w:w="57" w:type="dxa"/>
              <w:right w:w="57" w:type="dxa"/>
            </w:tcMar>
          </w:tcPr>
          <w:p>
            <w:pPr>
              <w:adjustRightInd w:val="0"/>
              <w:snapToGrid w:val="0"/>
              <w:rPr>
                <w:rFonts w:eastAsiaTheme="minorEastAsia"/>
                <w:color w:val="000000" w:themeColor="text1"/>
                <w:sz w:val="18"/>
                <w:szCs w:val="18"/>
                <w14:textFill>
                  <w14:solidFill>
                    <w14:schemeClr w14:val="tx1"/>
                  </w14:solidFill>
                </w14:textFill>
              </w:rPr>
            </w:pPr>
          </w:p>
        </w:tc>
        <w:tc>
          <w:tcPr>
            <w:tcW w:w="316" w:type="pct"/>
            <w:vMerge w:val="continue"/>
            <w:tcMar>
              <w:left w:w="57" w:type="dxa"/>
              <w:right w:w="57" w:type="dxa"/>
            </w:tcMar>
          </w:tcPr>
          <w:p>
            <w:pPr>
              <w:adjustRightInd w:val="0"/>
              <w:snapToGrid w:val="0"/>
              <w:rPr>
                <w:rFonts w:eastAsiaTheme="minorEastAsia"/>
                <w:b/>
                <w:color w:val="000000" w:themeColor="text1"/>
                <w:sz w:val="18"/>
                <w:szCs w:val="18"/>
                <w:highlight w:val="none"/>
                <w14:textFill>
                  <w14:solidFill>
                    <w14:schemeClr w14:val="tx1"/>
                  </w14:solidFill>
                </w14:textFill>
              </w:rPr>
            </w:pPr>
          </w:p>
        </w:tc>
        <w:tc>
          <w:tcPr>
            <w:tcW w:w="206" w:type="pct"/>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172" w:type="pct"/>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428" w:type="pct"/>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339" w:type="pct"/>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252" w:type="pct"/>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323" w:type="pct"/>
            <w:gridSpan w:val="2"/>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418" w:type="pct"/>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241" w:type="pct"/>
            <w:gridSpan w:val="2"/>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765" w:type="pct"/>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310" w:type="pct"/>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378" w:type="pct"/>
            <w:gridSpan w:val="2"/>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358" w:type="pct"/>
            <w:gridSpan w:val="2"/>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313" w:type="pct"/>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4" w:type="pct"/>
            <w:gridSpan w:val="2"/>
            <w:vMerge w:val="continue"/>
            <w:tcMar>
              <w:left w:w="57" w:type="dxa"/>
              <w:right w:w="57" w:type="dxa"/>
            </w:tcMar>
          </w:tcPr>
          <w:p>
            <w:pPr>
              <w:adjustRightInd w:val="0"/>
              <w:snapToGrid w:val="0"/>
              <w:rPr>
                <w:rFonts w:eastAsiaTheme="minorEastAsia"/>
                <w:color w:val="000000" w:themeColor="text1"/>
                <w:sz w:val="18"/>
                <w:szCs w:val="18"/>
                <w14:textFill>
                  <w14:solidFill>
                    <w14:schemeClr w14:val="tx1"/>
                  </w14:solidFill>
                </w14:textFill>
              </w:rPr>
            </w:pPr>
          </w:p>
        </w:tc>
        <w:tc>
          <w:tcPr>
            <w:tcW w:w="316" w:type="pct"/>
            <w:vMerge w:val="continue"/>
            <w:tcMar>
              <w:left w:w="57" w:type="dxa"/>
              <w:right w:w="57" w:type="dxa"/>
            </w:tcMar>
          </w:tcPr>
          <w:p>
            <w:pPr>
              <w:adjustRightInd w:val="0"/>
              <w:snapToGrid w:val="0"/>
              <w:rPr>
                <w:rFonts w:eastAsiaTheme="minorEastAsia"/>
                <w:b/>
                <w:color w:val="000000" w:themeColor="text1"/>
                <w:sz w:val="18"/>
                <w:szCs w:val="18"/>
                <w:highlight w:val="none"/>
                <w14:textFill>
                  <w14:solidFill>
                    <w14:schemeClr w14:val="tx1"/>
                  </w14:solidFill>
                </w14:textFill>
              </w:rPr>
            </w:pPr>
          </w:p>
        </w:tc>
        <w:tc>
          <w:tcPr>
            <w:tcW w:w="206" w:type="pct"/>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172" w:type="pct"/>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428" w:type="pct"/>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339" w:type="pct"/>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252" w:type="pct"/>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323" w:type="pct"/>
            <w:gridSpan w:val="2"/>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418" w:type="pct"/>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241" w:type="pct"/>
            <w:gridSpan w:val="2"/>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765" w:type="pct"/>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310" w:type="pct"/>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378" w:type="pct"/>
            <w:gridSpan w:val="2"/>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358" w:type="pct"/>
            <w:gridSpan w:val="2"/>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313" w:type="pct"/>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p>
        </w:tc>
      </w:tr>
    </w:tbl>
    <w:p>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注：1、排放增减量：（+）表示增加，（-）表示减少；2、（12）=（6）-（8）-（11），（9）=（4）-（5）-（8）-（11）+（1）；3、计量单位：废水排放量——吨/年；废气排放量——万标立方米/年；工业固体废物排放量——吨/年；水污染物排放浓度——毫克/升；大气污染物排放浓度——毫克/立方米；水污染物排放量——吨/年；大气污染物排放量——吨/年。</w:t>
      </w:r>
    </w:p>
    <w:p>
      <w:pPr>
        <w:widowControl/>
        <w:jc w:val="left"/>
        <w:rPr>
          <w:b/>
          <w:color w:val="000000" w:themeColor="text1"/>
          <w:sz w:val="24"/>
          <w:szCs w:val="24"/>
          <w14:textFill>
            <w14:solidFill>
              <w14:schemeClr w14:val="tx1"/>
            </w14:solidFill>
          </w14:textFill>
        </w:rPr>
      </w:pPr>
    </w:p>
    <w:p>
      <w:pPr>
        <w:pStyle w:val="6"/>
        <w:rPr>
          <w:color w:val="000000" w:themeColor="text1"/>
          <w14:textFill>
            <w14:solidFill>
              <w14:schemeClr w14:val="tx1"/>
            </w14:solidFill>
          </w14:textFill>
        </w:rPr>
      </w:pPr>
    </w:p>
    <w:p>
      <w:pPr>
        <w:rPr>
          <w:color w:val="000000" w:themeColor="text1"/>
          <w14:textFill>
            <w14:solidFill>
              <w14:schemeClr w14:val="tx1"/>
            </w14:solidFill>
          </w14:textFill>
        </w:rPr>
      </w:pPr>
    </w:p>
    <w:sectPr>
      <w:headerReference r:id="rId7" w:type="default"/>
      <w:footerReference r:id="rId8" w:type="default"/>
      <w:pgSz w:w="16840" w:h="11907" w:orient="landscape"/>
      <w:pgMar w:top="1417" w:right="1417" w:bottom="1247" w:left="1417" w:header="851" w:footer="442" w:gutter="0"/>
      <w:pgBorders>
        <w:top w:val="none" w:sz="0" w:space="0"/>
        <w:left w:val="none" w:sz="0" w:space="0"/>
        <w:bottom w:val="none" w:sz="0" w:space="0"/>
        <w:right w:val="none" w:sz="0" w:space="0"/>
      </w:pgBorders>
      <w:cols w:space="0" w:num="1"/>
      <w:docGrid w:type="linesAndChars" w:linePitch="318" w:charSpace="1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Garamond">
    <w:panose1 w:val="02020404030301010803"/>
    <w:charset w:val="00"/>
    <w:family w:val="roman"/>
    <w:pitch w:val="default"/>
    <w:sig w:usb0="00000287" w:usb1="00000000" w:usb2="00000000" w:usb3="00000000" w:csb0="0000009F" w:csb1="DFD70000"/>
  </w:font>
  <w:font w:name="MS PMincho">
    <w:panose1 w:val="02020600040205080304"/>
    <w:charset w:val="80"/>
    <w:family w:val="roman"/>
    <w:pitch w:val="default"/>
    <w:sig w:usb0="E00002FF" w:usb1="6AC7FDFB" w:usb2="00000012" w:usb3="00000000" w:csb0="4002009F" w:csb1="DFD7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wordWrap w:val="0"/>
      <w:spacing w:line="0" w:lineRule="atLeast"/>
      <w:ind w:right="4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32"/>
      </w:rPr>
    </w:pPr>
    <w:r>
      <w:fldChar w:fldCharType="begin"/>
    </w:r>
    <w:r>
      <w:rPr>
        <w:rStyle w:val="32"/>
      </w:rPr>
      <w:instrText xml:space="preserve">PAGE  </w:instrText>
    </w:r>
    <w:r>
      <w:fldChar w:fldCharType="end"/>
    </w:r>
  </w:p>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adjustRightInd w:val="0"/>
      <w:jc w:val="center"/>
    </w:pPr>
    <w:r>
      <w:rPr>
        <w:kern w:val="0"/>
        <w:sz w:val="21"/>
        <w:szCs w:val="21"/>
      </w:rPr>
      <w:fldChar w:fldCharType="begin"/>
    </w:r>
    <w:r>
      <w:rPr>
        <w:kern w:val="0"/>
        <w:sz w:val="21"/>
        <w:szCs w:val="21"/>
      </w:rPr>
      <w:instrText xml:space="preserve"> PAGE </w:instrText>
    </w:r>
    <w:r>
      <w:rPr>
        <w:kern w:val="0"/>
        <w:sz w:val="21"/>
        <w:szCs w:val="21"/>
      </w:rPr>
      <w:fldChar w:fldCharType="separate"/>
    </w:r>
    <w:r>
      <w:rPr>
        <w:kern w:val="0"/>
        <w:sz w:val="21"/>
        <w:szCs w:val="21"/>
      </w:rPr>
      <w:t>5</w:t>
    </w:r>
    <w:r>
      <w:rPr>
        <w:kern w:val="0"/>
        <w:sz w:val="21"/>
        <w:szCs w:val="2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spacing w:line="0" w:lineRule="atLeast"/>
      <w:jc w:val="center"/>
    </w:pPr>
    <w:r>
      <w:rPr>
        <w:kern w:val="0"/>
        <w:sz w:val="21"/>
        <w:szCs w:val="21"/>
      </w:rPr>
      <w:fldChar w:fldCharType="begin"/>
    </w:r>
    <w:r>
      <w:rPr>
        <w:kern w:val="0"/>
        <w:sz w:val="21"/>
        <w:szCs w:val="21"/>
      </w:rPr>
      <w:instrText xml:space="preserve"> PAGE </w:instrText>
    </w:r>
    <w:r>
      <w:rPr>
        <w:kern w:val="0"/>
        <w:sz w:val="21"/>
        <w:szCs w:val="21"/>
      </w:rPr>
      <w:fldChar w:fldCharType="separate"/>
    </w:r>
    <w:r>
      <w:rPr>
        <w:kern w:val="0"/>
        <w:sz w:val="21"/>
        <w:szCs w:val="21"/>
      </w:rPr>
      <w:t>29</w:t>
    </w:r>
    <w:r>
      <w:rPr>
        <w:kern w:val="0"/>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ind w:right="9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C1680"/>
    <w:multiLevelType w:val="singleLevel"/>
    <w:tmpl w:val="B60C1680"/>
    <w:lvl w:ilvl="0" w:tentative="0">
      <w:start w:val="1"/>
      <w:numFmt w:val="decimal"/>
      <w:suff w:val="nothing"/>
      <w:lvlText w:val="%1、"/>
      <w:lvlJc w:val="left"/>
    </w:lvl>
  </w:abstractNum>
  <w:abstractNum w:abstractNumId="1">
    <w:nsid w:val="D96BDC12"/>
    <w:multiLevelType w:val="singleLevel"/>
    <w:tmpl w:val="D96BDC12"/>
    <w:lvl w:ilvl="0" w:tentative="0">
      <w:start w:val="1"/>
      <w:numFmt w:val="decimal"/>
      <w:pStyle w:val="110"/>
      <w:suff w:val="nothing"/>
      <w:lvlText w:val="表1-%1"/>
      <w:lvlJc w:val="center"/>
      <w:pPr>
        <w:tabs>
          <w:tab w:val="left" w:pos="0"/>
        </w:tabs>
        <w:ind w:left="0" w:firstLine="0"/>
      </w:pPr>
      <w:rPr>
        <w:rFonts w:hint="default"/>
        <w:b/>
        <w:bCs/>
        <w:sz w:val="18"/>
        <w:szCs w:val="18"/>
      </w:rPr>
    </w:lvl>
  </w:abstractNum>
  <w:abstractNum w:abstractNumId="2">
    <w:nsid w:val="2573AB10"/>
    <w:multiLevelType w:val="singleLevel"/>
    <w:tmpl w:val="2573AB10"/>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3MTE0OWNiMmYxMWViNjljNGQ0NDA2MTI0NDhmMmUifQ=="/>
  </w:docVars>
  <w:rsids>
    <w:rsidRoot w:val="00172A27"/>
    <w:rsid w:val="0000012D"/>
    <w:rsid w:val="00000A75"/>
    <w:rsid w:val="00000D94"/>
    <w:rsid w:val="0000158B"/>
    <w:rsid w:val="000019DD"/>
    <w:rsid w:val="00001B4D"/>
    <w:rsid w:val="00001FBE"/>
    <w:rsid w:val="000024E0"/>
    <w:rsid w:val="00002C72"/>
    <w:rsid w:val="0000348E"/>
    <w:rsid w:val="0000387E"/>
    <w:rsid w:val="000038E3"/>
    <w:rsid w:val="00003983"/>
    <w:rsid w:val="00004360"/>
    <w:rsid w:val="00005363"/>
    <w:rsid w:val="000053F2"/>
    <w:rsid w:val="000059C4"/>
    <w:rsid w:val="00005FCA"/>
    <w:rsid w:val="000071AD"/>
    <w:rsid w:val="000078FB"/>
    <w:rsid w:val="0001025C"/>
    <w:rsid w:val="000104BD"/>
    <w:rsid w:val="00010755"/>
    <w:rsid w:val="00010A9F"/>
    <w:rsid w:val="00010C96"/>
    <w:rsid w:val="00010D2B"/>
    <w:rsid w:val="00011604"/>
    <w:rsid w:val="00011973"/>
    <w:rsid w:val="00012405"/>
    <w:rsid w:val="0001254B"/>
    <w:rsid w:val="00012AF0"/>
    <w:rsid w:val="000131E9"/>
    <w:rsid w:val="00013784"/>
    <w:rsid w:val="00013FAF"/>
    <w:rsid w:val="0001421B"/>
    <w:rsid w:val="00015A1B"/>
    <w:rsid w:val="00015B07"/>
    <w:rsid w:val="00015EDD"/>
    <w:rsid w:val="00016787"/>
    <w:rsid w:val="00016956"/>
    <w:rsid w:val="00016BFA"/>
    <w:rsid w:val="00016D2F"/>
    <w:rsid w:val="00016D76"/>
    <w:rsid w:val="0001711B"/>
    <w:rsid w:val="00017329"/>
    <w:rsid w:val="00017835"/>
    <w:rsid w:val="00017932"/>
    <w:rsid w:val="00017C04"/>
    <w:rsid w:val="00020875"/>
    <w:rsid w:val="00021745"/>
    <w:rsid w:val="0002184E"/>
    <w:rsid w:val="00021C40"/>
    <w:rsid w:val="00022370"/>
    <w:rsid w:val="00022377"/>
    <w:rsid w:val="00022895"/>
    <w:rsid w:val="00022A87"/>
    <w:rsid w:val="00022B95"/>
    <w:rsid w:val="000230EF"/>
    <w:rsid w:val="0002355A"/>
    <w:rsid w:val="000243E3"/>
    <w:rsid w:val="000243F5"/>
    <w:rsid w:val="000248DE"/>
    <w:rsid w:val="00024957"/>
    <w:rsid w:val="00025409"/>
    <w:rsid w:val="00026359"/>
    <w:rsid w:val="000265DF"/>
    <w:rsid w:val="0002664A"/>
    <w:rsid w:val="00026EDC"/>
    <w:rsid w:val="00027538"/>
    <w:rsid w:val="00027748"/>
    <w:rsid w:val="0002793B"/>
    <w:rsid w:val="00027CEB"/>
    <w:rsid w:val="00030C92"/>
    <w:rsid w:val="00030F95"/>
    <w:rsid w:val="0003119B"/>
    <w:rsid w:val="000311D1"/>
    <w:rsid w:val="0003200E"/>
    <w:rsid w:val="0003221E"/>
    <w:rsid w:val="00032375"/>
    <w:rsid w:val="000337A3"/>
    <w:rsid w:val="00033893"/>
    <w:rsid w:val="00033EF2"/>
    <w:rsid w:val="00034395"/>
    <w:rsid w:val="00034BB4"/>
    <w:rsid w:val="0003552D"/>
    <w:rsid w:val="00035762"/>
    <w:rsid w:val="00035AA8"/>
    <w:rsid w:val="00036152"/>
    <w:rsid w:val="00036A62"/>
    <w:rsid w:val="00037322"/>
    <w:rsid w:val="00037CF6"/>
    <w:rsid w:val="00037DC8"/>
    <w:rsid w:val="00040186"/>
    <w:rsid w:val="00040967"/>
    <w:rsid w:val="000412EA"/>
    <w:rsid w:val="000415BD"/>
    <w:rsid w:val="0004173A"/>
    <w:rsid w:val="000423B8"/>
    <w:rsid w:val="000428F2"/>
    <w:rsid w:val="000430F2"/>
    <w:rsid w:val="0004333C"/>
    <w:rsid w:val="00043421"/>
    <w:rsid w:val="0004385D"/>
    <w:rsid w:val="00043AB3"/>
    <w:rsid w:val="00043BF8"/>
    <w:rsid w:val="00043FA8"/>
    <w:rsid w:val="0004429C"/>
    <w:rsid w:val="000447EF"/>
    <w:rsid w:val="00044C3B"/>
    <w:rsid w:val="00044DA3"/>
    <w:rsid w:val="00044F08"/>
    <w:rsid w:val="00044FED"/>
    <w:rsid w:val="00045130"/>
    <w:rsid w:val="0004566E"/>
    <w:rsid w:val="000457A4"/>
    <w:rsid w:val="000458AA"/>
    <w:rsid w:val="00045C67"/>
    <w:rsid w:val="00046071"/>
    <w:rsid w:val="000462E0"/>
    <w:rsid w:val="00046726"/>
    <w:rsid w:val="0004757D"/>
    <w:rsid w:val="00047C28"/>
    <w:rsid w:val="00047C7F"/>
    <w:rsid w:val="00047E5E"/>
    <w:rsid w:val="00050120"/>
    <w:rsid w:val="000502FF"/>
    <w:rsid w:val="00050674"/>
    <w:rsid w:val="00051162"/>
    <w:rsid w:val="000511E0"/>
    <w:rsid w:val="0005159D"/>
    <w:rsid w:val="0005178B"/>
    <w:rsid w:val="000518A2"/>
    <w:rsid w:val="000518A8"/>
    <w:rsid w:val="00051DCC"/>
    <w:rsid w:val="00051DF8"/>
    <w:rsid w:val="00051F05"/>
    <w:rsid w:val="00052302"/>
    <w:rsid w:val="000528B2"/>
    <w:rsid w:val="00052B77"/>
    <w:rsid w:val="00052B7C"/>
    <w:rsid w:val="00052BE6"/>
    <w:rsid w:val="00052EA3"/>
    <w:rsid w:val="00053569"/>
    <w:rsid w:val="0005366C"/>
    <w:rsid w:val="00053D04"/>
    <w:rsid w:val="0005435B"/>
    <w:rsid w:val="0005475F"/>
    <w:rsid w:val="00054C7A"/>
    <w:rsid w:val="00054CB7"/>
    <w:rsid w:val="00055151"/>
    <w:rsid w:val="00055523"/>
    <w:rsid w:val="00056D44"/>
    <w:rsid w:val="00056D7A"/>
    <w:rsid w:val="00056FD1"/>
    <w:rsid w:val="0005766B"/>
    <w:rsid w:val="00057998"/>
    <w:rsid w:val="00057A39"/>
    <w:rsid w:val="00057FBA"/>
    <w:rsid w:val="000604B3"/>
    <w:rsid w:val="00060BB9"/>
    <w:rsid w:val="00060EAE"/>
    <w:rsid w:val="0006152B"/>
    <w:rsid w:val="000617BE"/>
    <w:rsid w:val="00061D29"/>
    <w:rsid w:val="00061EA4"/>
    <w:rsid w:val="000635C7"/>
    <w:rsid w:val="000637C1"/>
    <w:rsid w:val="00063D7F"/>
    <w:rsid w:val="000646E5"/>
    <w:rsid w:val="000647F9"/>
    <w:rsid w:val="00064BDC"/>
    <w:rsid w:val="000650ED"/>
    <w:rsid w:val="00065696"/>
    <w:rsid w:val="0006579F"/>
    <w:rsid w:val="00065B8F"/>
    <w:rsid w:val="00065E8B"/>
    <w:rsid w:val="000660A3"/>
    <w:rsid w:val="00066437"/>
    <w:rsid w:val="00066B79"/>
    <w:rsid w:val="00067C3A"/>
    <w:rsid w:val="00070236"/>
    <w:rsid w:val="00070757"/>
    <w:rsid w:val="00070AF0"/>
    <w:rsid w:val="00070B7D"/>
    <w:rsid w:val="00070DC8"/>
    <w:rsid w:val="00071039"/>
    <w:rsid w:val="00071845"/>
    <w:rsid w:val="00071ABE"/>
    <w:rsid w:val="00071AD7"/>
    <w:rsid w:val="00071CF6"/>
    <w:rsid w:val="00072365"/>
    <w:rsid w:val="000724C8"/>
    <w:rsid w:val="00072612"/>
    <w:rsid w:val="00072995"/>
    <w:rsid w:val="00072A25"/>
    <w:rsid w:val="00073B83"/>
    <w:rsid w:val="00073CC2"/>
    <w:rsid w:val="00073F32"/>
    <w:rsid w:val="00073FE7"/>
    <w:rsid w:val="000745DB"/>
    <w:rsid w:val="00074A66"/>
    <w:rsid w:val="00075589"/>
    <w:rsid w:val="0007575B"/>
    <w:rsid w:val="00075BBD"/>
    <w:rsid w:val="00075D36"/>
    <w:rsid w:val="00076454"/>
    <w:rsid w:val="00077560"/>
    <w:rsid w:val="000777EA"/>
    <w:rsid w:val="00077A63"/>
    <w:rsid w:val="00077A9D"/>
    <w:rsid w:val="00077CC8"/>
    <w:rsid w:val="00077EEF"/>
    <w:rsid w:val="000802EF"/>
    <w:rsid w:val="000818D6"/>
    <w:rsid w:val="00081A6B"/>
    <w:rsid w:val="00081C64"/>
    <w:rsid w:val="00081D70"/>
    <w:rsid w:val="00082028"/>
    <w:rsid w:val="000821EE"/>
    <w:rsid w:val="00082334"/>
    <w:rsid w:val="0008253E"/>
    <w:rsid w:val="000826A7"/>
    <w:rsid w:val="00082955"/>
    <w:rsid w:val="00082EB1"/>
    <w:rsid w:val="00083626"/>
    <w:rsid w:val="00083AAE"/>
    <w:rsid w:val="00083AB9"/>
    <w:rsid w:val="00083B18"/>
    <w:rsid w:val="00083B86"/>
    <w:rsid w:val="00084443"/>
    <w:rsid w:val="0008485C"/>
    <w:rsid w:val="00084C3E"/>
    <w:rsid w:val="000851CC"/>
    <w:rsid w:val="000853B9"/>
    <w:rsid w:val="00085924"/>
    <w:rsid w:val="00085D6E"/>
    <w:rsid w:val="00086038"/>
    <w:rsid w:val="00086A91"/>
    <w:rsid w:val="00086D61"/>
    <w:rsid w:val="00086F65"/>
    <w:rsid w:val="00087185"/>
    <w:rsid w:val="000877AA"/>
    <w:rsid w:val="00087F70"/>
    <w:rsid w:val="0009032B"/>
    <w:rsid w:val="00090568"/>
    <w:rsid w:val="000906C5"/>
    <w:rsid w:val="00091099"/>
    <w:rsid w:val="0009119C"/>
    <w:rsid w:val="00092544"/>
    <w:rsid w:val="00092680"/>
    <w:rsid w:val="00093221"/>
    <w:rsid w:val="00093814"/>
    <w:rsid w:val="000939B6"/>
    <w:rsid w:val="00093DA8"/>
    <w:rsid w:val="00094225"/>
    <w:rsid w:val="0009436B"/>
    <w:rsid w:val="00094930"/>
    <w:rsid w:val="00094C1B"/>
    <w:rsid w:val="00094D90"/>
    <w:rsid w:val="000950E3"/>
    <w:rsid w:val="00095BBC"/>
    <w:rsid w:val="00097001"/>
    <w:rsid w:val="00097066"/>
    <w:rsid w:val="00097913"/>
    <w:rsid w:val="000A0AF0"/>
    <w:rsid w:val="000A1248"/>
    <w:rsid w:val="000A18B6"/>
    <w:rsid w:val="000A1D55"/>
    <w:rsid w:val="000A1E8F"/>
    <w:rsid w:val="000A2C70"/>
    <w:rsid w:val="000A31D2"/>
    <w:rsid w:val="000A409A"/>
    <w:rsid w:val="000A4118"/>
    <w:rsid w:val="000A416D"/>
    <w:rsid w:val="000A41C3"/>
    <w:rsid w:val="000A46C8"/>
    <w:rsid w:val="000A5B0A"/>
    <w:rsid w:val="000A5D03"/>
    <w:rsid w:val="000A5D39"/>
    <w:rsid w:val="000A5E15"/>
    <w:rsid w:val="000A6AC4"/>
    <w:rsid w:val="000B02F1"/>
    <w:rsid w:val="000B08EB"/>
    <w:rsid w:val="000B0C53"/>
    <w:rsid w:val="000B1611"/>
    <w:rsid w:val="000B2011"/>
    <w:rsid w:val="000B22F2"/>
    <w:rsid w:val="000B2312"/>
    <w:rsid w:val="000B25A1"/>
    <w:rsid w:val="000B25B5"/>
    <w:rsid w:val="000B273C"/>
    <w:rsid w:val="000B2A12"/>
    <w:rsid w:val="000B353C"/>
    <w:rsid w:val="000B3DCB"/>
    <w:rsid w:val="000B4C73"/>
    <w:rsid w:val="000B4E1E"/>
    <w:rsid w:val="000B4F28"/>
    <w:rsid w:val="000B4FF4"/>
    <w:rsid w:val="000B5388"/>
    <w:rsid w:val="000B54D1"/>
    <w:rsid w:val="000B566D"/>
    <w:rsid w:val="000B5A4D"/>
    <w:rsid w:val="000B610A"/>
    <w:rsid w:val="000B6408"/>
    <w:rsid w:val="000B644B"/>
    <w:rsid w:val="000B6694"/>
    <w:rsid w:val="000B68E2"/>
    <w:rsid w:val="000B6CEE"/>
    <w:rsid w:val="000B6D59"/>
    <w:rsid w:val="000B7220"/>
    <w:rsid w:val="000B7304"/>
    <w:rsid w:val="000B7E0B"/>
    <w:rsid w:val="000B7ECD"/>
    <w:rsid w:val="000C04CB"/>
    <w:rsid w:val="000C06FA"/>
    <w:rsid w:val="000C0800"/>
    <w:rsid w:val="000C0F30"/>
    <w:rsid w:val="000C0FE9"/>
    <w:rsid w:val="000C10F2"/>
    <w:rsid w:val="000C1872"/>
    <w:rsid w:val="000C1D2A"/>
    <w:rsid w:val="000C1D3E"/>
    <w:rsid w:val="000C1F9D"/>
    <w:rsid w:val="000C22B2"/>
    <w:rsid w:val="000C2307"/>
    <w:rsid w:val="000C256C"/>
    <w:rsid w:val="000C2684"/>
    <w:rsid w:val="000C2BF4"/>
    <w:rsid w:val="000C2EBC"/>
    <w:rsid w:val="000C3A5F"/>
    <w:rsid w:val="000C497F"/>
    <w:rsid w:val="000C4ED1"/>
    <w:rsid w:val="000C5245"/>
    <w:rsid w:val="000C535F"/>
    <w:rsid w:val="000C5C36"/>
    <w:rsid w:val="000C5D0C"/>
    <w:rsid w:val="000C5D87"/>
    <w:rsid w:val="000C66C0"/>
    <w:rsid w:val="000C69B0"/>
    <w:rsid w:val="000C72B2"/>
    <w:rsid w:val="000C7386"/>
    <w:rsid w:val="000C75E6"/>
    <w:rsid w:val="000C7635"/>
    <w:rsid w:val="000C7788"/>
    <w:rsid w:val="000C7F45"/>
    <w:rsid w:val="000D0190"/>
    <w:rsid w:val="000D081C"/>
    <w:rsid w:val="000D0CBE"/>
    <w:rsid w:val="000D100E"/>
    <w:rsid w:val="000D1425"/>
    <w:rsid w:val="000D1607"/>
    <w:rsid w:val="000D1A3D"/>
    <w:rsid w:val="000D2325"/>
    <w:rsid w:val="000D26B3"/>
    <w:rsid w:val="000D29FF"/>
    <w:rsid w:val="000D3168"/>
    <w:rsid w:val="000D3F6C"/>
    <w:rsid w:val="000D46D5"/>
    <w:rsid w:val="000D49F9"/>
    <w:rsid w:val="000D4C2C"/>
    <w:rsid w:val="000D545B"/>
    <w:rsid w:val="000D5AFD"/>
    <w:rsid w:val="000D6973"/>
    <w:rsid w:val="000D6C21"/>
    <w:rsid w:val="000D782F"/>
    <w:rsid w:val="000E01F2"/>
    <w:rsid w:val="000E0252"/>
    <w:rsid w:val="000E0D7C"/>
    <w:rsid w:val="000E0FD1"/>
    <w:rsid w:val="000E1042"/>
    <w:rsid w:val="000E1503"/>
    <w:rsid w:val="000E17CD"/>
    <w:rsid w:val="000E2114"/>
    <w:rsid w:val="000E2EF8"/>
    <w:rsid w:val="000E3161"/>
    <w:rsid w:val="000E39D1"/>
    <w:rsid w:val="000E4422"/>
    <w:rsid w:val="000E4AB2"/>
    <w:rsid w:val="000E54A5"/>
    <w:rsid w:val="000E5560"/>
    <w:rsid w:val="000E61D3"/>
    <w:rsid w:val="000E6385"/>
    <w:rsid w:val="000E6493"/>
    <w:rsid w:val="000E655B"/>
    <w:rsid w:val="000E6B1E"/>
    <w:rsid w:val="000E6BDB"/>
    <w:rsid w:val="000E7056"/>
    <w:rsid w:val="000E76CE"/>
    <w:rsid w:val="000F005E"/>
    <w:rsid w:val="000F00A6"/>
    <w:rsid w:val="000F0A4F"/>
    <w:rsid w:val="000F0BDD"/>
    <w:rsid w:val="000F192F"/>
    <w:rsid w:val="000F1ADE"/>
    <w:rsid w:val="000F24BA"/>
    <w:rsid w:val="000F266D"/>
    <w:rsid w:val="000F2912"/>
    <w:rsid w:val="000F2B05"/>
    <w:rsid w:val="000F2F4F"/>
    <w:rsid w:val="000F372C"/>
    <w:rsid w:val="000F3B0C"/>
    <w:rsid w:val="000F3F88"/>
    <w:rsid w:val="000F3FBA"/>
    <w:rsid w:val="000F5224"/>
    <w:rsid w:val="000F5EB3"/>
    <w:rsid w:val="000F5F4F"/>
    <w:rsid w:val="000F6561"/>
    <w:rsid w:val="000F6B73"/>
    <w:rsid w:val="000F714F"/>
    <w:rsid w:val="000F71E8"/>
    <w:rsid w:val="000F741A"/>
    <w:rsid w:val="000F785D"/>
    <w:rsid w:val="000F7CC1"/>
    <w:rsid w:val="000F7EF2"/>
    <w:rsid w:val="00100600"/>
    <w:rsid w:val="0010144C"/>
    <w:rsid w:val="0010182F"/>
    <w:rsid w:val="00101CB5"/>
    <w:rsid w:val="001025B9"/>
    <w:rsid w:val="00102C7C"/>
    <w:rsid w:val="0010442B"/>
    <w:rsid w:val="001050EC"/>
    <w:rsid w:val="001058EC"/>
    <w:rsid w:val="001062BD"/>
    <w:rsid w:val="0010643D"/>
    <w:rsid w:val="00106685"/>
    <w:rsid w:val="00106DDF"/>
    <w:rsid w:val="00107EF6"/>
    <w:rsid w:val="00110359"/>
    <w:rsid w:val="00110BC9"/>
    <w:rsid w:val="00110CD3"/>
    <w:rsid w:val="00111332"/>
    <w:rsid w:val="00111634"/>
    <w:rsid w:val="00111ED9"/>
    <w:rsid w:val="00111EF4"/>
    <w:rsid w:val="0011255E"/>
    <w:rsid w:val="001125D3"/>
    <w:rsid w:val="00112631"/>
    <w:rsid w:val="0011296D"/>
    <w:rsid w:val="0011298B"/>
    <w:rsid w:val="00112FE1"/>
    <w:rsid w:val="00114DF1"/>
    <w:rsid w:val="00115155"/>
    <w:rsid w:val="00115C6E"/>
    <w:rsid w:val="00115C7D"/>
    <w:rsid w:val="001165D5"/>
    <w:rsid w:val="00116CE1"/>
    <w:rsid w:val="001170A1"/>
    <w:rsid w:val="00117F04"/>
    <w:rsid w:val="00120124"/>
    <w:rsid w:val="0012054F"/>
    <w:rsid w:val="00120756"/>
    <w:rsid w:val="00120824"/>
    <w:rsid w:val="00120923"/>
    <w:rsid w:val="00120B58"/>
    <w:rsid w:val="001214A4"/>
    <w:rsid w:val="001216BC"/>
    <w:rsid w:val="00121A0A"/>
    <w:rsid w:val="00121C0D"/>
    <w:rsid w:val="00121C7F"/>
    <w:rsid w:val="00121E3B"/>
    <w:rsid w:val="00122657"/>
    <w:rsid w:val="00122FAB"/>
    <w:rsid w:val="001234FB"/>
    <w:rsid w:val="001235AD"/>
    <w:rsid w:val="001236D0"/>
    <w:rsid w:val="00123900"/>
    <w:rsid w:val="00123A18"/>
    <w:rsid w:val="00123CDC"/>
    <w:rsid w:val="00124275"/>
    <w:rsid w:val="00125202"/>
    <w:rsid w:val="00125443"/>
    <w:rsid w:val="00125C23"/>
    <w:rsid w:val="00125DA5"/>
    <w:rsid w:val="00126919"/>
    <w:rsid w:val="00126E4E"/>
    <w:rsid w:val="001272B0"/>
    <w:rsid w:val="00127322"/>
    <w:rsid w:val="00127E3C"/>
    <w:rsid w:val="00127EC8"/>
    <w:rsid w:val="00130016"/>
    <w:rsid w:val="00130359"/>
    <w:rsid w:val="00130BDE"/>
    <w:rsid w:val="001310D9"/>
    <w:rsid w:val="001313B6"/>
    <w:rsid w:val="0013160B"/>
    <w:rsid w:val="00131F86"/>
    <w:rsid w:val="001320B7"/>
    <w:rsid w:val="00132DFA"/>
    <w:rsid w:val="00132EF3"/>
    <w:rsid w:val="001336FD"/>
    <w:rsid w:val="00134131"/>
    <w:rsid w:val="00134407"/>
    <w:rsid w:val="001348C6"/>
    <w:rsid w:val="00134C3E"/>
    <w:rsid w:val="00134D74"/>
    <w:rsid w:val="001360F7"/>
    <w:rsid w:val="00136173"/>
    <w:rsid w:val="00136530"/>
    <w:rsid w:val="00136584"/>
    <w:rsid w:val="001366B7"/>
    <w:rsid w:val="001369C2"/>
    <w:rsid w:val="00136B73"/>
    <w:rsid w:val="00136B84"/>
    <w:rsid w:val="00136EE5"/>
    <w:rsid w:val="001371C5"/>
    <w:rsid w:val="0013735F"/>
    <w:rsid w:val="001375BB"/>
    <w:rsid w:val="00137F30"/>
    <w:rsid w:val="00140931"/>
    <w:rsid w:val="001410E1"/>
    <w:rsid w:val="00141D23"/>
    <w:rsid w:val="00141F30"/>
    <w:rsid w:val="001424AF"/>
    <w:rsid w:val="00142680"/>
    <w:rsid w:val="0014276B"/>
    <w:rsid w:val="00142A34"/>
    <w:rsid w:val="0014379C"/>
    <w:rsid w:val="00144135"/>
    <w:rsid w:val="001445C1"/>
    <w:rsid w:val="00144957"/>
    <w:rsid w:val="001449FA"/>
    <w:rsid w:val="00144A04"/>
    <w:rsid w:val="0014662B"/>
    <w:rsid w:val="001466C9"/>
    <w:rsid w:val="0014683C"/>
    <w:rsid w:val="001474EE"/>
    <w:rsid w:val="00147B2B"/>
    <w:rsid w:val="00147EBF"/>
    <w:rsid w:val="00147F7C"/>
    <w:rsid w:val="00150687"/>
    <w:rsid w:val="0015080B"/>
    <w:rsid w:val="001508E5"/>
    <w:rsid w:val="00150ADF"/>
    <w:rsid w:val="0015147E"/>
    <w:rsid w:val="0015176A"/>
    <w:rsid w:val="00151979"/>
    <w:rsid w:val="00151C6C"/>
    <w:rsid w:val="00151ED2"/>
    <w:rsid w:val="00152210"/>
    <w:rsid w:val="00152355"/>
    <w:rsid w:val="001525C9"/>
    <w:rsid w:val="00152B3A"/>
    <w:rsid w:val="00153925"/>
    <w:rsid w:val="00153DEC"/>
    <w:rsid w:val="001544EB"/>
    <w:rsid w:val="00154646"/>
    <w:rsid w:val="00154E31"/>
    <w:rsid w:val="00155965"/>
    <w:rsid w:val="001573DA"/>
    <w:rsid w:val="00157C1B"/>
    <w:rsid w:val="00157C39"/>
    <w:rsid w:val="00160C60"/>
    <w:rsid w:val="00160C7B"/>
    <w:rsid w:val="00160DB1"/>
    <w:rsid w:val="001612EA"/>
    <w:rsid w:val="0016168A"/>
    <w:rsid w:val="0016189C"/>
    <w:rsid w:val="00161CB3"/>
    <w:rsid w:val="0016297B"/>
    <w:rsid w:val="00162B41"/>
    <w:rsid w:val="00162D98"/>
    <w:rsid w:val="00162F70"/>
    <w:rsid w:val="0016324A"/>
    <w:rsid w:val="001633CA"/>
    <w:rsid w:val="00163801"/>
    <w:rsid w:val="00163890"/>
    <w:rsid w:val="001638C9"/>
    <w:rsid w:val="00163970"/>
    <w:rsid w:val="00163DA6"/>
    <w:rsid w:val="0016420C"/>
    <w:rsid w:val="00164CE9"/>
    <w:rsid w:val="00165274"/>
    <w:rsid w:val="0016545D"/>
    <w:rsid w:val="001659DF"/>
    <w:rsid w:val="00165EEA"/>
    <w:rsid w:val="001666B5"/>
    <w:rsid w:val="0016762D"/>
    <w:rsid w:val="00167762"/>
    <w:rsid w:val="00167913"/>
    <w:rsid w:val="00167C2F"/>
    <w:rsid w:val="00170812"/>
    <w:rsid w:val="00170925"/>
    <w:rsid w:val="00170BE2"/>
    <w:rsid w:val="00170E29"/>
    <w:rsid w:val="0017126E"/>
    <w:rsid w:val="0017139F"/>
    <w:rsid w:val="00171A73"/>
    <w:rsid w:val="0017218B"/>
    <w:rsid w:val="00172A27"/>
    <w:rsid w:val="00172DAF"/>
    <w:rsid w:val="00172DB8"/>
    <w:rsid w:val="0017301C"/>
    <w:rsid w:val="00173688"/>
    <w:rsid w:val="001736BB"/>
    <w:rsid w:val="00173DE0"/>
    <w:rsid w:val="00173F32"/>
    <w:rsid w:val="0017423E"/>
    <w:rsid w:val="0017434A"/>
    <w:rsid w:val="00174987"/>
    <w:rsid w:val="00174AC9"/>
    <w:rsid w:val="00174BB9"/>
    <w:rsid w:val="00174CB2"/>
    <w:rsid w:val="00174FAB"/>
    <w:rsid w:val="001759DF"/>
    <w:rsid w:val="00175B72"/>
    <w:rsid w:val="00175FCA"/>
    <w:rsid w:val="00176811"/>
    <w:rsid w:val="00176BC8"/>
    <w:rsid w:val="001779FD"/>
    <w:rsid w:val="00177BC8"/>
    <w:rsid w:val="00177E6C"/>
    <w:rsid w:val="00180541"/>
    <w:rsid w:val="00180717"/>
    <w:rsid w:val="001809A9"/>
    <w:rsid w:val="00180BC9"/>
    <w:rsid w:val="00180D37"/>
    <w:rsid w:val="00180D82"/>
    <w:rsid w:val="00180E61"/>
    <w:rsid w:val="00180F93"/>
    <w:rsid w:val="0018112E"/>
    <w:rsid w:val="00181244"/>
    <w:rsid w:val="00181C0A"/>
    <w:rsid w:val="001820DA"/>
    <w:rsid w:val="00182169"/>
    <w:rsid w:val="00182747"/>
    <w:rsid w:val="00182D28"/>
    <w:rsid w:val="001833DC"/>
    <w:rsid w:val="00183C88"/>
    <w:rsid w:val="00183F6D"/>
    <w:rsid w:val="00184CEE"/>
    <w:rsid w:val="00184DBE"/>
    <w:rsid w:val="00184E42"/>
    <w:rsid w:val="001855C0"/>
    <w:rsid w:val="00186440"/>
    <w:rsid w:val="00186A02"/>
    <w:rsid w:val="00186ABA"/>
    <w:rsid w:val="00186F66"/>
    <w:rsid w:val="001870FF"/>
    <w:rsid w:val="00190A03"/>
    <w:rsid w:val="00190B4E"/>
    <w:rsid w:val="001912B3"/>
    <w:rsid w:val="00191C71"/>
    <w:rsid w:val="00191DEF"/>
    <w:rsid w:val="00191E7E"/>
    <w:rsid w:val="00191F29"/>
    <w:rsid w:val="00191F7F"/>
    <w:rsid w:val="0019290D"/>
    <w:rsid w:val="0019298F"/>
    <w:rsid w:val="00192D6C"/>
    <w:rsid w:val="0019319A"/>
    <w:rsid w:val="001932A1"/>
    <w:rsid w:val="00193DE5"/>
    <w:rsid w:val="00194246"/>
    <w:rsid w:val="001943BB"/>
    <w:rsid w:val="001943F5"/>
    <w:rsid w:val="001944DA"/>
    <w:rsid w:val="0019485B"/>
    <w:rsid w:val="001954CF"/>
    <w:rsid w:val="00195809"/>
    <w:rsid w:val="00196075"/>
    <w:rsid w:val="0019646F"/>
    <w:rsid w:val="00196B2F"/>
    <w:rsid w:val="00197391"/>
    <w:rsid w:val="0019758A"/>
    <w:rsid w:val="00197772"/>
    <w:rsid w:val="00197A96"/>
    <w:rsid w:val="00197BF7"/>
    <w:rsid w:val="001A0025"/>
    <w:rsid w:val="001A05D3"/>
    <w:rsid w:val="001A0FE4"/>
    <w:rsid w:val="001A10E4"/>
    <w:rsid w:val="001A14E9"/>
    <w:rsid w:val="001A1AD2"/>
    <w:rsid w:val="001A1B5A"/>
    <w:rsid w:val="001A2377"/>
    <w:rsid w:val="001A248D"/>
    <w:rsid w:val="001A265D"/>
    <w:rsid w:val="001A2833"/>
    <w:rsid w:val="001A2BA6"/>
    <w:rsid w:val="001A30DD"/>
    <w:rsid w:val="001A31AC"/>
    <w:rsid w:val="001A3A9E"/>
    <w:rsid w:val="001A4309"/>
    <w:rsid w:val="001A437C"/>
    <w:rsid w:val="001A4494"/>
    <w:rsid w:val="001A44E2"/>
    <w:rsid w:val="001A4814"/>
    <w:rsid w:val="001A4D54"/>
    <w:rsid w:val="001A5140"/>
    <w:rsid w:val="001A5C97"/>
    <w:rsid w:val="001A665D"/>
    <w:rsid w:val="001A7604"/>
    <w:rsid w:val="001B04D7"/>
    <w:rsid w:val="001B050C"/>
    <w:rsid w:val="001B05D8"/>
    <w:rsid w:val="001B070E"/>
    <w:rsid w:val="001B08F5"/>
    <w:rsid w:val="001B0E0C"/>
    <w:rsid w:val="001B174C"/>
    <w:rsid w:val="001B187D"/>
    <w:rsid w:val="001B191C"/>
    <w:rsid w:val="001B2490"/>
    <w:rsid w:val="001B27E9"/>
    <w:rsid w:val="001B2A1A"/>
    <w:rsid w:val="001B30DB"/>
    <w:rsid w:val="001B3697"/>
    <w:rsid w:val="001B38F2"/>
    <w:rsid w:val="001B3A3C"/>
    <w:rsid w:val="001B3FAE"/>
    <w:rsid w:val="001B4E77"/>
    <w:rsid w:val="001B4FEA"/>
    <w:rsid w:val="001B573B"/>
    <w:rsid w:val="001B5F46"/>
    <w:rsid w:val="001B6110"/>
    <w:rsid w:val="001B658A"/>
    <w:rsid w:val="001B6621"/>
    <w:rsid w:val="001B6A0A"/>
    <w:rsid w:val="001B6B32"/>
    <w:rsid w:val="001B6BC1"/>
    <w:rsid w:val="001B719E"/>
    <w:rsid w:val="001B72E8"/>
    <w:rsid w:val="001B7AA7"/>
    <w:rsid w:val="001B7D15"/>
    <w:rsid w:val="001C034A"/>
    <w:rsid w:val="001C0D0A"/>
    <w:rsid w:val="001C1989"/>
    <w:rsid w:val="001C19BD"/>
    <w:rsid w:val="001C1CC9"/>
    <w:rsid w:val="001C26E7"/>
    <w:rsid w:val="001C2855"/>
    <w:rsid w:val="001C2A81"/>
    <w:rsid w:val="001C2E64"/>
    <w:rsid w:val="001C2EED"/>
    <w:rsid w:val="001C355B"/>
    <w:rsid w:val="001C38B3"/>
    <w:rsid w:val="001C3955"/>
    <w:rsid w:val="001C401B"/>
    <w:rsid w:val="001C43D6"/>
    <w:rsid w:val="001C5797"/>
    <w:rsid w:val="001C5EC4"/>
    <w:rsid w:val="001C61B9"/>
    <w:rsid w:val="001C6201"/>
    <w:rsid w:val="001C64C9"/>
    <w:rsid w:val="001C666D"/>
    <w:rsid w:val="001C6BFD"/>
    <w:rsid w:val="001C6E1A"/>
    <w:rsid w:val="001C727D"/>
    <w:rsid w:val="001C7281"/>
    <w:rsid w:val="001C7CDA"/>
    <w:rsid w:val="001D000B"/>
    <w:rsid w:val="001D0BC5"/>
    <w:rsid w:val="001D10A2"/>
    <w:rsid w:val="001D15E9"/>
    <w:rsid w:val="001D15F3"/>
    <w:rsid w:val="001D1770"/>
    <w:rsid w:val="001D185B"/>
    <w:rsid w:val="001D1BA7"/>
    <w:rsid w:val="001D1D04"/>
    <w:rsid w:val="001D1F7E"/>
    <w:rsid w:val="001D24EE"/>
    <w:rsid w:val="001D2670"/>
    <w:rsid w:val="001D2CB6"/>
    <w:rsid w:val="001D31E9"/>
    <w:rsid w:val="001D3487"/>
    <w:rsid w:val="001D3800"/>
    <w:rsid w:val="001D3A29"/>
    <w:rsid w:val="001D3B7D"/>
    <w:rsid w:val="001D426A"/>
    <w:rsid w:val="001D42BB"/>
    <w:rsid w:val="001D4B94"/>
    <w:rsid w:val="001D5370"/>
    <w:rsid w:val="001D53CB"/>
    <w:rsid w:val="001D63AC"/>
    <w:rsid w:val="001D6E72"/>
    <w:rsid w:val="001D6EEE"/>
    <w:rsid w:val="001D7B3E"/>
    <w:rsid w:val="001D7BA9"/>
    <w:rsid w:val="001D7D0B"/>
    <w:rsid w:val="001D7E4C"/>
    <w:rsid w:val="001D7F7C"/>
    <w:rsid w:val="001E13BC"/>
    <w:rsid w:val="001E1884"/>
    <w:rsid w:val="001E1A02"/>
    <w:rsid w:val="001E1FB5"/>
    <w:rsid w:val="001E31EC"/>
    <w:rsid w:val="001E34C4"/>
    <w:rsid w:val="001E36CB"/>
    <w:rsid w:val="001E3842"/>
    <w:rsid w:val="001E3A93"/>
    <w:rsid w:val="001E3D26"/>
    <w:rsid w:val="001E3E96"/>
    <w:rsid w:val="001E43BB"/>
    <w:rsid w:val="001E444B"/>
    <w:rsid w:val="001E4459"/>
    <w:rsid w:val="001E44E0"/>
    <w:rsid w:val="001E46E9"/>
    <w:rsid w:val="001E476D"/>
    <w:rsid w:val="001E4B13"/>
    <w:rsid w:val="001E4F54"/>
    <w:rsid w:val="001E500D"/>
    <w:rsid w:val="001E535D"/>
    <w:rsid w:val="001E58EE"/>
    <w:rsid w:val="001E69A2"/>
    <w:rsid w:val="001E6ABB"/>
    <w:rsid w:val="001E6E3A"/>
    <w:rsid w:val="001E7A8C"/>
    <w:rsid w:val="001F0D62"/>
    <w:rsid w:val="001F0D6A"/>
    <w:rsid w:val="001F162F"/>
    <w:rsid w:val="001F167E"/>
    <w:rsid w:val="001F17A1"/>
    <w:rsid w:val="001F1829"/>
    <w:rsid w:val="001F196A"/>
    <w:rsid w:val="001F1D97"/>
    <w:rsid w:val="001F1E5F"/>
    <w:rsid w:val="001F1F6F"/>
    <w:rsid w:val="001F2874"/>
    <w:rsid w:val="001F2951"/>
    <w:rsid w:val="001F2BC0"/>
    <w:rsid w:val="001F34F6"/>
    <w:rsid w:val="001F3689"/>
    <w:rsid w:val="001F3831"/>
    <w:rsid w:val="001F45AF"/>
    <w:rsid w:val="001F45E4"/>
    <w:rsid w:val="001F49C6"/>
    <w:rsid w:val="001F5218"/>
    <w:rsid w:val="001F5375"/>
    <w:rsid w:val="001F58CB"/>
    <w:rsid w:val="001F5B7C"/>
    <w:rsid w:val="001F5D50"/>
    <w:rsid w:val="001F5E16"/>
    <w:rsid w:val="001F5F15"/>
    <w:rsid w:val="001F67AA"/>
    <w:rsid w:val="001F6E63"/>
    <w:rsid w:val="001F7736"/>
    <w:rsid w:val="001F7742"/>
    <w:rsid w:val="001F7CF1"/>
    <w:rsid w:val="001F7D15"/>
    <w:rsid w:val="001F7FAE"/>
    <w:rsid w:val="0020053E"/>
    <w:rsid w:val="002006B8"/>
    <w:rsid w:val="0020076C"/>
    <w:rsid w:val="00200C34"/>
    <w:rsid w:val="002013BB"/>
    <w:rsid w:val="002013DC"/>
    <w:rsid w:val="00201972"/>
    <w:rsid w:val="00201C78"/>
    <w:rsid w:val="00201DEF"/>
    <w:rsid w:val="00201F2C"/>
    <w:rsid w:val="00202355"/>
    <w:rsid w:val="0020266E"/>
    <w:rsid w:val="00202B9A"/>
    <w:rsid w:val="00202E2D"/>
    <w:rsid w:val="00202EEE"/>
    <w:rsid w:val="002034EE"/>
    <w:rsid w:val="002036AF"/>
    <w:rsid w:val="0020425B"/>
    <w:rsid w:val="002042CF"/>
    <w:rsid w:val="002043AB"/>
    <w:rsid w:val="00204AE7"/>
    <w:rsid w:val="00204C4C"/>
    <w:rsid w:val="002053DD"/>
    <w:rsid w:val="00205900"/>
    <w:rsid w:val="00205C1C"/>
    <w:rsid w:val="00206154"/>
    <w:rsid w:val="00206585"/>
    <w:rsid w:val="002067D0"/>
    <w:rsid w:val="00206941"/>
    <w:rsid w:val="002069F4"/>
    <w:rsid w:val="00206A3A"/>
    <w:rsid w:val="002073F4"/>
    <w:rsid w:val="00207447"/>
    <w:rsid w:val="00210231"/>
    <w:rsid w:val="00210A32"/>
    <w:rsid w:val="00210A6E"/>
    <w:rsid w:val="00210CB5"/>
    <w:rsid w:val="002118B8"/>
    <w:rsid w:val="00211D38"/>
    <w:rsid w:val="00211FEA"/>
    <w:rsid w:val="002121F2"/>
    <w:rsid w:val="00212279"/>
    <w:rsid w:val="002124A0"/>
    <w:rsid w:val="00212ECC"/>
    <w:rsid w:val="00213F96"/>
    <w:rsid w:val="0021436C"/>
    <w:rsid w:val="00214883"/>
    <w:rsid w:val="002153D5"/>
    <w:rsid w:val="00215CBE"/>
    <w:rsid w:val="002162AD"/>
    <w:rsid w:val="002167CD"/>
    <w:rsid w:val="00217443"/>
    <w:rsid w:val="0021770E"/>
    <w:rsid w:val="00217A32"/>
    <w:rsid w:val="00217E75"/>
    <w:rsid w:val="00217FC8"/>
    <w:rsid w:val="00217FFB"/>
    <w:rsid w:val="0022010C"/>
    <w:rsid w:val="00220278"/>
    <w:rsid w:val="00220A3E"/>
    <w:rsid w:val="00221754"/>
    <w:rsid w:val="00221805"/>
    <w:rsid w:val="00221EEE"/>
    <w:rsid w:val="002224A7"/>
    <w:rsid w:val="00222FD9"/>
    <w:rsid w:val="002235FB"/>
    <w:rsid w:val="00223D3A"/>
    <w:rsid w:val="00224106"/>
    <w:rsid w:val="00224811"/>
    <w:rsid w:val="00224922"/>
    <w:rsid w:val="002250A4"/>
    <w:rsid w:val="002253F8"/>
    <w:rsid w:val="002254F6"/>
    <w:rsid w:val="0022550F"/>
    <w:rsid w:val="00225A80"/>
    <w:rsid w:val="00227039"/>
    <w:rsid w:val="002272D9"/>
    <w:rsid w:val="002277CB"/>
    <w:rsid w:val="00227BE6"/>
    <w:rsid w:val="00230714"/>
    <w:rsid w:val="002308DA"/>
    <w:rsid w:val="0023118C"/>
    <w:rsid w:val="00231725"/>
    <w:rsid w:val="0023198D"/>
    <w:rsid w:val="00231B16"/>
    <w:rsid w:val="00231BDE"/>
    <w:rsid w:val="00231E01"/>
    <w:rsid w:val="00231E6C"/>
    <w:rsid w:val="00231F2E"/>
    <w:rsid w:val="00232030"/>
    <w:rsid w:val="00232051"/>
    <w:rsid w:val="002322B6"/>
    <w:rsid w:val="0023255D"/>
    <w:rsid w:val="00232905"/>
    <w:rsid w:val="00232EC3"/>
    <w:rsid w:val="00233037"/>
    <w:rsid w:val="00233418"/>
    <w:rsid w:val="002338D6"/>
    <w:rsid w:val="00233DCF"/>
    <w:rsid w:val="00234730"/>
    <w:rsid w:val="00234958"/>
    <w:rsid w:val="00235072"/>
    <w:rsid w:val="00235771"/>
    <w:rsid w:val="00235E6E"/>
    <w:rsid w:val="00235E9A"/>
    <w:rsid w:val="00236154"/>
    <w:rsid w:val="00236301"/>
    <w:rsid w:val="002364B0"/>
    <w:rsid w:val="00237942"/>
    <w:rsid w:val="00237CAF"/>
    <w:rsid w:val="00237DD7"/>
    <w:rsid w:val="00237E78"/>
    <w:rsid w:val="00240156"/>
    <w:rsid w:val="00240C1D"/>
    <w:rsid w:val="00240D84"/>
    <w:rsid w:val="00241C94"/>
    <w:rsid w:val="002423DA"/>
    <w:rsid w:val="00242495"/>
    <w:rsid w:val="0024251A"/>
    <w:rsid w:val="00242543"/>
    <w:rsid w:val="00242BB7"/>
    <w:rsid w:val="00242E31"/>
    <w:rsid w:val="0024316A"/>
    <w:rsid w:val="00243282"/>
    <w:rsid w:val="00243439"/>
    <w:rsid w:val="00243917"/>
    <w:rsid w:val="00243C6A"/>
    <w:rsid w:val="00244366"/>
    <w:rsid w:val="00244D51"/>
    <w:rsid w:val="00245619"/>
    <w:rsid w:val="002456AF"/>
    <w:rsid w:val="00245C8C"/>
    <w:rsid w:val="00246303"/>
    <w:rsid w:val="0024637B"/>
    <w:rsid w:val="00246910"/>
    <w:rsid w:val="00246AA0"/>
    <w:rsid w:val="00246EF9"/>
    <w:rsid w:val="00246F87"/>
    <w:rsid w:val="00246FA7"/>
    <w:rsid w:val="00247137"/>
    <w:rsid w:val="00247547"/>
    <w:rsid w:val="00247872"/>
    <w:rsid w:val="00247FFE"/>
    <w:rsid w:val="00250B6D"/>
    <w:rsid w:val="00250CD5"/>
    <w:rsid w:val="00250E69"/>
    <w:rsid w:val="00250EEB"/>
    <w:rsid w:val="002516F1"/>
    <w:rsid w:val="00252071"/>
    <w:rsid w:val="00252E3D"/>
    <w:rsid w:val="00252EEE"/>
    <w:rsid w:val="002530F2"/>
    <w:rsid w:val="0025318C"/>
    <w:rsid w:val="002531AC"/>
    <w:rsid w:val="002532E3"/>
    <w:rsid w:val="002540AB"/>
    <w:rsid w:val="0025450F"/>
    <w:rsid w:val="002545A7"/>
    <w:rsid w:val="00254A11"/>
    <w:rsid w:val="00254AD4"/>
    <w:rsid w:val="00254D36"/>
    <w:rsid w:val="002553CF"/>
    <w:rsid w:val="002554AD"/>
    <w:rsid w:val="00256340"/>
    <w:rsid w:val="002564F4"/>
    <w:rsid w:val="00256731"/>
    <w:rsid w:val="00256897"/>
    <w:rsid w:val="00256A14"/>
    <w:rsid w:val="00256C09"/>
    <w:rsid w:val="00256FCE"/>
    <w:rsid w:val="0025701D"/>
    <w:rsid w:val="002578A6"/>
    <w:rsid w:val="00260C74"/>
    <w:rsid w:val="00260C88"/>
    <w:rsid w:val="002611F0"/>
    <w:rsid w:val="00261C66"/>
    <w:rsid w:val="002626C8"/>
    <w:rsid w:val="0026271A"/>
    <w:rsid w:val="00262771"/>
    <w:rsid w:val="0026285C"/>
    <w:rsid w:val="00262B38"/>
    <w:rsid w:val="002634DE"/>
    <w:rsid w:val="00263E5A"/>
    <w:rsid w:val="00264633"/>
    <w:rsid w:val="002647D6"/>
    <w:rsid w:val="00264ADC"/>
    <w:rsid w:val="0026530E"/>
    <w:rsid w:val="00265732"/>
    <w:rsid w:val="00265BDC"/>
    <w:rsid w:val="00265C5E"/>
    <w:rsid w:val="00266003"/>
    <w:rsid w:val="00266C51"/>
    <w:rsid w:val="00266F0C"/>
    <w:rsid w:val="0026760F"/>
    <w:rsid w:val="00267617"/>
    <w:rsid w:val="002676A9"/>
    <w:rsid w:val="00267C96"/>
    <w:rsid w:val="002704F0"/>
    <w:rsid w:val="00270C1B"/>
    <w:rsid w:val="0027172B"/>
    <w:rsid w:val="00271A82"/>
    <w:rsid w:val="00271CCD"/>
    <w:rsid w:val="00271FDF"/>
    <w:rsid w:val="002722A4"/>
    <w:rsid w:val="002722DD"/>
    <w:rsid w:val="00272876"/>
    <w:rsid w:val="002729A7"/>
    <w:rsid w:val="00272B92"/>
    <w:rsid w:val="0027388C"/>
    <w:rsid w:val="00273C5B"/>
    <w:rsid w:val="00273D19"/>
    <w:rsid w:val="00273EB3"/>
    <w:rsid w:val="00273FE0"/>
    <w:rsid w:val="00274245"/>
    <w:rsid w:val="00275608"/>
    <w:rsid w:val="0027605F"/>
    <w:rsid w:val="002768C4"/>
    <w:rsid w:val="002768D0"/>
    <w:rsid w:val="00276A8A"/>
    <w:rsid w:val="00276C20"/>
    <w:rsid w:val="00277020"/>
    <w:rsid w:val="0027716E"/>
    <w:rsid w:val="00277449"/>
    <w:rsid w:val="00277D6D"/>
    <w:rsid w:val="00280281"/>
    <w:rsid w:val="00280548"/>
    <w:rsid w:val="002805BF"/>
    <w:rsid w:val="00280615"/>
    <w:rsid w:val="00280683"/>
    <w:rsid w:val="002806E3"/>
    <w:rsid w:val="00280BFC"/>
    <w:rsid w:val="00280C02"/>
    <w:rsid w:val="00281BBA"/>
    <w:rsid w:val="00281BE1"/>
    <w:rsid w:val="00282114"/>
    <w:rsid w:val="002821D8"/>
    <w:rsid w:val="00282483"/>
    <w:rsid w:val="002824F4"/>
    <w:rsid w:val="00282935"/>
    <w:rsid w:val="0028296E"/>
    <w:rsid w:val="00282FA9"/>
    <w:rsid w:val="00283869"/>
    <w:rsid w:val="002838FC"/>
    <w:rsid w:val="00283CAD"/>
    <w:rsid w:val="00283D79"/>
    <w:rsid w:val="0028427F"/>
    <w:rsid w:val="0028459A"/>
    <w:rsid w:val="00285087"/>
    <w:rsid w:val="00285271"/>
    <w:rsid w:val="00285BB7"/>
    <w:rsid w:val="00285CAE"/>
    <w:rsid w:val="002866D5"/>
    <w:rsid w:val="00286717"/>
    <w:rsid w:val="00286B11"/>
    <w:rsid w:val="00286C8D"/>
    <w:rsid w:val="00286CBB"/>
    <w:rsid w:val="00286DC0"/>
    <w:rsid w:val="00287065"/>
    <w:rsid w:val="0028726E"/>
    <w:rsid w:val="0028733C"/>
    <w:rsid w:val="0028789C"/>
    <w:rsid w:val="00287BCA"/>
    <w:rsid w:val="00287C96"/>
    <w:rsid w:val="00287DBE"/>
    <w:rsid w:val="00287E40"/>
    <w:rsid w:val="00287F0F"/>
    <w:rsid w:val="0029002F"/>
    <w:rsid w:val="002908CE"/>
    <w:rsid w:val="00290DE9"/>
    <w:rsid w:val="002917A3"/>
    <w:rsid w:val="002918CD"/>
    <w:rsid w:val="00291A0B"/>
    <w:rsid w:val="002920B8"/>
    <w:rsid w:val="002922C2"/>
    <w:rsid w:val="002923E5"/>
    <w:rsid w:val="00292909"/>
    <w:rsid w:val="00293005"/>
    <w:rsid w:val="0029325C"/>
    <w:rsid w:val="00293566"/>
    <w:rsid w:val="00293698"/>
    <w:rsid w:val="0029380B"/>
    <w:rsid w:val="00293A0E"/>
    <w:rsid w:val="00293A73"/>
    <w:rsid w:val="00293C31"/>
    <w:rsid w:val="00294B36"/>
    <w:rsid w:val="00294E82"/>
    <w:rsid w:val="002956BF"/>
    <w:rsid w:val="0029570C"/>
    <w:rsid w:val="00295895"/>
    <w:rsid w:val="00295BAD"/>
    <w:rsid w:val="00295F5D"/>
    <w:rsid w:val="00296167"/>
    <w:rsid w:val="00296358"/>
    <w:rsid w:val="002968F7"/>
    <w:rsid w:val="00296B1A"/>
    <w:rsid w:val="00297338"/>
    <w:rsid w:val="0029751F"/>
    <w:rsid w:val="002A0187"/>
    <w:rsid w:val="002A021F"/>
    <w:rsid w:val="002A0DDA"/>
    <w:rsid w:val="002A10BB"/>
    <w:rsid w:val="002A2111"/>
    <w:rsid w:val="002A23FC"/>
    <w:rsid w:val="002A2D91"/>
    <w:rsid w:val="002A39DD"/>
    <w:rsid w:val="002A3F92"/>
    <w:rsid w:val="002A41F9"/>
    <w:rsid w:val="002A4306"/>
    <w:rsid w:val="002A591A"/>
    <w:rsid w:val="002A6908"/>
    <w:rsid w:val="002A6FB0"/>
    <w:rsid w:val="002A707E"/>
    <w:rsid w:val="002A712A"/>
    <w:rsid w:val="002A768E"/>
    <w:rsid w:val="002A7C84"/>
    <w:rsid w:val="002B0621"/>
    <w:rsid w:val="002B0B6F"/>
    <w:rsid w:val="002B0C3F"/>
    <w:rsid w:val="002B0F28"/>
    <w:rsid w:val="002B12DB"/>
    <w:rsid w:val="002B2430"/>
    <w:rsid w:val="002B2CFC"/>
    <w:rsid w:val="002B2F1A"/>
    <w:rsid w:val="002B3D51"/>
    <w:rsid w:val="002B4224"/>
    <w:rsid w:val="002B42F4"/>
    <w:rsid w:val="002B460C"/>
    <w:rsid w:val="002B50A3"/>
    <w:rsid w:val="002B5239"/>
    <w:rsid w:val="002B5481"/>
    <w:rsid w:val="002B563B"/>
    <w:rsid w:val="002B56F4"/>
    <w:rsid w:val="002B5ABF"/>
    <w:rsid w:val="002B5FF3"/>
    <w:rsid w:val="002B66FA"/>
    <w:rsid w:val="002B6BF9"/>
    <w:rsid w:val="002B7184"/>
    <w:rsid w:val="002B759C"/>
    <w:rsid w:val="002B7713"/>
    <w:rsid w:val="002B7993"/>
    <w:rsid w:val="002B7BFD"/>
    <w:rsid w:val="002B7DDB"/>
    <w:rsid w:val="002C0283"/>
    <w:rsid w:val="002C04A1"/>
    <w:rsid w:val="002C0A17"/>
    <w:rsid w:val="002C0A4E"/>
    <w:rsid w:val="002C0A5A"/>
    <w:rsid w:val="002C0D64"/>
    <w:rsid w:val="002C2641"/>
    <w:rsid w:val="002C293A"/>
    <w:rsid w:val="002C2EBB"/>
    <w:rsid w:val="002C3904"/>
    <w:rsid w:val="002C3C5A"/>
    <w:rsid w:val="002C3D5E"/>
    <w:rsid w:val="002C3FE8"/>
    <w:rsid w:val="002C45A0"/>
    <w:rsid w:val="002C464C"/>
    <w:rsid w:val="002C4A08"/>
    <w:rsid w:val="002C4CEA"/>
    <w:rsid w:val="002C53D9"/>
    <w:rsid w:val="002C59E0"/>
    <w:rsid w:val="002C5E55"/>
    <w:rsid w:val="002C6AD1"/>
    <w:rsid w:val="002C7155"/>
    <w:rsid w:val="002C7E6E"/>
    <w:rsid w:val="002C7EF7"/>
    <w:rsid w:val="002D032D"/>
    <w:rsid w:val="002D064F"/>
    <w:rsid w:val="002D0689"/>
    <w:rsid w:val="002D08AD"/>
    <w:rsid w:val="002D0AEF"/>
    <w:rsid w:val="002D1355"/>
    <w:rsid w:val="002D170D"/>
    <w:rsid w:val="002D197B"/>
    <w:rsid w:val="002D24F7"/>
    <w:rsid w:val="002D257C"/>
    <w:rsid w:val="002D264A"/>
    <w:rsid w:val="002D3F57"/>
    <w:rsid w:val="002D4549"/>
    <w:rsid w:val="002D5089"/>
    <w:rsid w:val="002D56E0"/>
    <w:rsid w:val="002D6EFD"/>
    <w:rsid w:val="002D6FD8"/>
    <w:rsid w:val="002D7296"/>
    <w:rsid w:val="002D7C73"/>
    <w:rsid w:val="002E0136"/>
    <w:rsid w:val="002E0BF4"/>
    <w:rsid w:val="002E0F4B"/>
    <w:rsid w:val="002E1374"/>
    <w:rsid w:val="002E1407"/>
    <w:rsid w:val="002E15AC"/>
    <w:rsid w:val="002E177D"/>
    <w:rsid w:val="002E187A"/>
    <w:rsid w:val="002E1F1F"/>
    <w:rsid w:val="002E2225"/>
    <w:rsid w:val="002E23AB"/>
    <w:rsid w:val="002E2AE8"/>
    <w:rsid w:val="002E2DB3"/>
    <w:rsid w:val="002E3181"/>
    <w:rsid w:val="002E3959"/>
    <w:rsid w:val="002E3BFA"/>
    <w:rsid w:val="002E489D"/>
    <w:rsid w:val="002E4A94"/>
    <w:rsid w:val="002E4F28"/>
    <w:rsid w:val="002E51D2"/>
    <w:rsid w:val="002E5B88"/>
    <w:rsid w:val="002E5FF8"/>
    <w:rsid w:val="002E6024"/>
    <w:rsid w:val="002E6217"/>
    <w:rsid w:val="002E65C4"/>
    <w:rsid w:val="002E72C0"/>
    <w:rsid w:val="002E73ED"/>
    <w:rsid w:val="002E76ED"/>
    <w:rsid w:val="002E7E4B"/>
    <w:rsid w:val="002F0357"/>
    <w:rsid w:val="002F10DF"/>
    <w:rsid w:val="002F14C6"/>
    <w:rsid w:val="002F157B"/>
    <w:rsid w:val="002F17C2"/>
    <w:rsid w:val="002F23D1"/>
    <w:rsid w:val="002F2430"/>
    <w:rsid w:val="002F25F7"/>
    <w:rsid w:val="002F274F"/>
    <w:rsid w:val="002F2A51"/>
    <w:rsid w:val="002F2DFD"/>
    <w:rsid w:val="002F30EC"/>
    <w:rsid w:val="002F39CB"/>
    <w:rsid w:val="002F3E66"/>
    <w:rsid w:val="002F445D"/>
    <w:rsid w:val="002F4F5E"/>
    <w:rsid w:val="002F5230"/>
    <w:rsid w:val="002F5F29"/>
    <w:rsid w:val="002F6216"/>
    <w:rsid w:val="002F66E4"/>
    <w:rsid w:val="002F6704"/>
    <w:rsid w:val="002F67ED"/>
    <w:rsid w:val="002F7097"/>
    <w:rsid w:val="002F73F0"/>
    <w:rsid w:val="002F7B06"/>
    <w:rsid w:val="0030005E"/>
    <w:rsid w:val="003004BF"/>
    <w:rsid w:val="003005A5"/>
    <w:rsid w:val="00300A71"/>
    <w:rsid w:val="00301808"/>
    <w:rsid w:val="00301ACD"/>
    <w:rsid w:val="00302CAE"/>
    <w:rsid w:val="00303A2D"/>
    <w:rsid w:val="00303C34"/>
    <w:rsid w:val="00304094"/>
    <w:rsid w:val="00304177"/>
    <w:rsid w:val="003043A8"/>
    <w:rsid w:val="003049E3"/>
    <w:rsid w:val="0030608F"/>
    <w:rsid w:val="00306103"/>
    <w:rsid w:val="003061E7"/>
    <w:rsid w:val="003067A1"/>
    <w:rsid w:val="003069D0"/>
    <w:rsid w:val="00306B87"/>
    <w:rsid w:val="00306C7D"/>
    <w:rsid w:val="00307205"/>
    <w:rsid w:val="003073C7"/>
    <w:rsid w:val="0030759F"/>
    <w:rsid w:val="0031048A"/>
    <w:rsid w:val="0031050C"/>
    <w:rsid w:val="00310BA1"/>
    <w:rsid w:val="00311169"/>
    <w:rsid w:val="00311197"/>
    <w:rsid w:val="0031154A"/>
    <w:rsid w:val="00311A56"/>
    <w:rsid w:val="00311F89"/>
    <w:rsid w:val="00312221"/>
    <w:rsid w:val="00312B79"/>
    <w:rsid w:val="003130D6"/>
    <w:rsid w:val="003136E4"/>
    <w:rsid w:val="00313781"/>
    <w:rsid w:val="003141B7"/>
    <w:rsid w:val="003146C2"/>
    <w:rsid w:val="00315A2E"/>
    <w:rsid w:val="0031647B"/>
    <w:rsid w:val="0031663A"/>
    <w:rsid w:val="0031673F"/>
    <w:rsid w:val="00317209"/>
    <w:rsid w:val="00317261"/>
    <w:rsid w:val="0031764B"/>
    <w:rsid w:val="00317A6E"/>
    <w:rsid w:val="00320296"/>
    <w:rsid w:val="00320BD1"/>
    <w:rsid w:val="00321734"/>
    <w:rsid w:val="0032230B"/>
    <w:rsid w:val="003223BD"/>
    <w:rsid w:val="00322833"/>
    <w:rsid w:val="003231D3"/>
    <w:rsid w:val="00323772"/>
    <w:rsid w:val="00323BBA"/>
    <w:rsid w:val="00323CF4"/>
    <w:rsid w:val="00323DD8"/>
    <w:rsid w:val="00323EF6"/>
    <w:rsid w:val="00324098"/>
    <w:rsid w:val="00324515"/>
    <w:rsid w:val="00324A43"/>
    <w:rsid w:val="00326064"/>
    <w:rsid w:val="003264DF"/>
    <w:rsid w:val="003268CD"/>
    <w:rsid w:val="00326DF7"/>
    <w:rsid w:val="0032733C"/>
    <w:rsid w:val="00327B5A"/>
    <w:rsid w:val="003301AC"/>
    <w:rsid w:val="00330211"/>
    <w:rsid w:val="003305F0"/>
    <w:rsid w:val="00331154"/>
    <w:rsid w:val="0033151B"/>
    <w:rsid w:val="003319E5"/>
    <w:rsid w:val="00331A69"/>
    <w:rsid w:val="003320D4"/>
    <w:rsid w:val="003323BE"/>
    <w:rsid w:val="003325F9"/>
    <w:rsid w:val="00332917"/>
    <w:rsid w:val="00332DF9"/>
    <w:rsid w:val="00332E0D"/>
    <w:rsid w:val="00333028"/>
    <w:rsid w:val="00333401"/>
    <w:rsid w:val="0033361C"/>
    <w:rsid w:val="003337F2"/>
    <w:rsid w:val="00333AF6"/>
    <w:rsid w:val="00333EEA"/>
    <w:rsid w:val="00333F93"/>
    <w:rsid w:val="00334DC9"/>
    <w:rsid w:val="00335344"/>
    <w:rsid w:val="00335708"/>
    <w:rsid w:val="0033593D"/>
    <w:rsid w:val="003359AF"/>
    <w:rsid w:val="00335A0E"/>
    <w:rsid w:val="003360FC"/>
    <w:rsid w:val="00336C5B"/>
    <w:rsid w:val="00336ED2"/>
    <w:rsid w:val="00336F56"/>
    <w:rsid w:val="00337325"/>
    <w:rsid w:val="0033755B"/>
    <w:rsid w:val="00337BDF"/>
    <w:rsid w:val="00340853"/>
    <w:rsid w:val="00340BAF"/>
    <w:rsid w:val="00341A6C"/>
    <w:rsid w:val="00341F06"/>
    <w:rsid w:val="00341FBD"/>
    <w:rsid w:val="0034207B"/>
    <w:rsid w:val="0034215D"/>
    <w:rsid w:val="0034216E"/>
    <w:rsid w:val="003422AE"/>
    <w:rsid w:val="003422BB"/>
    <w:rsid w:val="00342437"/>
    <w:rsid w:val="0034248D"/>
    <w:rsid w:val="0034255A"/>
    <w:rsid w:val="003426A1"/>
    <w:rsid w:val="00342A60"/>
    <w:rsid w:val="00342F33"/>
    <w:rsid w:val="00342FCD"/>
    <w:rsid w:val="003440EE"/>
    <w:rsid w:val="003446C5"/>
    <w:rsid w:val="003447C2"/>
    <w:rsid w:val="00344974"/>
    <w:rsid w:val="00344976"/>
    <w:rsid w:val="00344A7A"/>
    <w:rsid w:val="003459FF"/>
    <w:rsid w:val="00345ED1"/>
    <w:rsid w:val="003461C7"/>
    <w:rsid w:val="0034682E"/>
    <w:rsid w:val="00346B73"/>
    <w:rsid w:val="00346BF6"/>
    <w:rsid w:val="00346D3E"/>
    <w:rsid w:val="00346DE2"/>
    <w:rsid w:val="00347C95"/>
    <w:rsid w:val="00350934"/>
    <w:rsid w:val="003509A8"/>
    <w:rsid w:val="0035116B"/>
    <w:rsid w:val="003518B3"/>
    <w:rsid w:val="00352648"/>
    <w:rsid w:val="00352986"/>
    <w:rsid w:val="00353428"/>
    <w:rsid w:val="00353C75"/>
    <w:rsid w:val="0035411F"/>
    <w:rsid w:val="0035417C"/>
    <w:rsid w:val="0035429A"/>
    <w:rsid w:val="003544D9"/>
    <w:rsid w:val="0035468E"/>
    <w:rsid w:val="003547FB"/>
    <w:rsid w:val="00355725"/>
    <w:rsid w:val="00355C45"/>
    <w:rsid w:val="00355CAD"/>
    <w:rsid w:val="0035627A"/>
    <w:rsid w:val="00356410"/>
    <w:rsid w:val="00356468"/>
    <w:rsid w:val="00356504"/>
    <w:rsid w:val="00357381"/>
    <w:rsid w:val="00357B20"/>
    <w:rsid w:val="00357B89"/>
    <w:rsid w:val="00357E47"/>
    <w:rsid w:val="0036004B"/>
    <w:rsid w:val="00360574"/>
    <w:rsid w:val="003608AD"/>
    <w:rsid w:val="003609BF"/>
    <w:rsid w:val="00361B74"/>
    <w:rsid w:val="00361C8F"/>
    <w:rsid w:val="00361CAF"/>
    <w:rsid w:val="00361F68"/>
    <w:rsid w:val="00362398"/>
    <w:rsid w:val="00362471"/>
    <w:rsid w:val="003625F5"/>
    <w:rsid w:val="0036291C"/>
    <w:rsid w:val="00362ED1"/>
    <w:rsid w:val="00362F0C"/>
    <w:rsid w:val="00363C9B"/>
    <w:rsid w:val="0036438A"/>
    <w:rsid w:val="003645BD"/>
    <w:rsid w:val="0036496E"/>
    <w:rsid w:val="00364A1F"/>
    <w:rsid w:val="00364E4D"/>
    <w:rsid w:val="003653E9"/>
    <w:rsid w:val="00365AEB"/>
    <w:rsid w:val="0036643D"/>
    <w:rsid w:val="003664A6"/>
    <w:rsid w:val="00366617"/>
    <w:rsid w:val="00366B3D"/>
    <w:rsid w:val="003673D5"/>
    <w:rsid w:val="0036756F"/>
    <w:rsid w:val="00367D76"/>
    <w:rsid w:val="0037028A"/>
    <w:rsid w:val="00370466"/>
    <w:rsid w:val="00370AFE"/>
    <w:rsid w:val="003711FD"/>
    <w:rsid w:val="0037130B"/>
    <w:rsid w:val="00371430"/>
    <w:rsid w:val="003720D8"/>
    <w:rsid w:val="00372323"/>
    <w:rsid w:val="00372430"/>
    <w:rsid w:val="00372566"/>
    <w:rsid w:val="00372B52"/>
    <w:rsid w:val="00372D30"/>
    <w:rsid w:val="003735D0"/>
    <w:rsid w:val="0037426E"/>
    <w:rsid w:val="003743B7"/>
    <w:rsid w:val="0037458C"/>
    <w:rsid w:val="00374AB5"/>
    <w:rsid w:val="003756B5"/>
    <w:rsid w:val="003757FE"/>
    <w:rsid w:val="00375B4A"/>
    <w:rsid w:val="0037647D"/>
    <w:rsid w:val="0037676D"/>
    <w:rsid w:val="00376FF9"/>
    <w:rsid w:val="00377285"/>
    <w:rsid w:val="00377345"/>
    <w:rsid w:val="00377B50"/>
    <w:rsid w:val="00381224"/>
    <w:rsid w:val="00381DF5"/>
    <w:rsid w:val="00382186"/>
    <w:rsid w:val="0038252B"/>
    <w:rsid w:val="00382E13"/>
    <w:rsid w:val="003837A7"/>
    <w:rsid w:val="00383971"/>
    <w:rsid w:val="00383F67"/>
    <w:rsid w:val="003841BE"/>
    <w:rsid w:val="0038428C"/>
    <w:rsid w:val="00384491"/>
    <w:rsid w:val="00384503"/>
    <w:rsid w:val="003849D2"/>
    <w:rsid w:val="00384ACD"/>
    <w:rsid w:val="00384F0F"/>
    <w:rsid w:val="003855E5"/>
    <w:rsid w:val="003857F4"/>
    <w:rsid w:val="00385986"/>
    <w:rsid w:val="00385C4C"/>
    <w:rsid w:val="00385E7F"/>
    <w:rsid w:val="00386365"/>
    <w:rsid w:val="003864A5"/>
    <w:rsid w:val="003865A9"/>
    <w:rsid w:val="0038740D"/>
    <w:rsid w:val="00387668"/>
    <w:rsid w:val="003877A5"/>
    <w:rsid w:val="00387A7F"/>
    <w:rsid w:val="00390420"/>
    <w:rsid w:val="003908C6"/>
    <w:rsid w:val="00390C03"/>
    <w:rsid w:val="00391055"/>
    <w:rsid w:val="003914F7"/>
    <w:rsid w:val="00391E81"/>
    <w:rsid w:val="00391EF5"/>
    <w:rsid w:val="003921C4"/>
    <w:rsid w:val="00392983"/>
    <w:rsid w:val="00393771"/>
    <w:rsid w:val="0039380A"/>
    <w:rsid w:val="003938EC"/>
    <w:rsid w:val="00393B7E"/>
    <w:rsid w:val="00393DCF"/>
    <w:rsid w:val="003940A2"/>
    <w:rsid w:val="0039496D"/>
    <w:rsid w:val="00394A7D"/>
    <w:rsid w:val="00394FE2"/>
    <w:rsid w:val="00395580"/>
    <w:rsid w:val="003958C6"/>
    <w:rsid w:val="00395A9E"/>
    <w:rsid w:val="00395FB1"/>
    <w:rsid w:val="00396479"/>
    <w:rsid w:val="00396757"/>
    <w:rsid w:val="003967E6"/>
    <w:rsid w:val="00396FE3"/>
    <w:rsid w:val="00397233"/>
    <w:rsid w:val="003A1099"/>
    <w:rsid w:val="003A138F"/>
    <w:rsid w:val="003A151D"/>
    <w:rsid w:val="003A15BA"/>
    <w:rsid w:val="003A1841"/>
    <w:rsid w:val="003A1C76"/>
    <w:rsid w:val="003A1EFD"/>
    <w:rsid w:val="003A2404"/>
    <w:rsid w:val="003A26BD"/>
    <w:rsid w:val="003A3933"/>
    <w:rsid w:val="003A3CB1"/>
    <w:rsid w:val="003A3EA5"/>
    <w:rsid w:val="003A4298"/>
    <w:rsid w:val="003A43A9"/>
    <w:rsid w:val="003A46BA"/>
    <w:rsid w:val="003A515F"/>
    <w:rsid w:val="003A52A7"/>
    <w:rsid w:val="003A5552"/>
    <w:rsid w:val="003A59B3"/>
    <w:rsid w:val="003A69F3"/>
    <w:rsid w:val="003A6D01"/>
    <w:rsid w:val="003A70E8"/>
    <w:rsid w:val="003A75BF"/>
    <w:rsid w:val="003A763C"/>
    <w:rsid w:val="003A7867"/>
    <w:rsid w:val="003A7A75"/>
    <w:rsid w:val="003B00FC"/>
    <w:rsid w:val="003B159D"/>
    <w:rsid w:val="003B23C0"/>
    <w:rsid w:val="003B2506"/>
    <w:rsid w:val="003B331F"/>
    <w:rsid w:val="003B333C"/>
    <w:rsid w:val="003B3AA0"/>
    <w:rsid w:val="003B42DE"/>
    <w:rsid w:val="003B444F"/>
    <w:rsid w:val="003B47D8"/>
    <w:rsid w:val="003B4E3C"/>
    <w:rsid w:val="003B599A"/>
    <w:rsid w:val="003B5A96"/>
    <w:rsid w:val="003B5E08"/>
    <w:rsid w:val="003B6E24"/>
    <w:rsid w:val="003B6FF4"/>
    <w:rsid w:val="003B7094"/>
    <w:rsid w:val="003B7690"/>
    <w:rsid w:val="003C0050"/>
    <w:rsid w:val="003C007E"/>
    <w:rsid w:val="003C04DE"/>
    <w:rsid w:val="003C0644"/>
    <w:rsid w:val="003C0992"/>
    <w:rsid w:val="003C0E38"/>
    <w:rsid w:val="003C0E3A"/>
    <w:rsid w:val="003C0E78"/>
    <w:rsid w:val="003C0EDF"/>
    <w:rsid w:val="003C0F9F"/>
    <w:rsid w:val="003C1163"/>
    <w:rsid w:val="003C1465"/>
    <w:rsid w:val="003C157D"/>
    <w:rsid w:val="003C1A67"/>
    <w:rsid w:val="003C2106"/>
    <w:rsid w:val="003C22FD"/>
    <w:rsid w:val="003C2647"/>
    <w:rsid w:val="003C274F"/>
    <w:rsid w:val="003C27B3"/>
    <w:rsid w:val="003C2919"/>
    <w:rsid w:val="003C2B23"/>
    <w:rsid w:val="003C311A"/>
    <w:rsid w:val="003C3884"/>
    <w:rsid w:val="003C3CCC"/>
    <w:rsid w:val="003C4049"/>
    <w:rsid w:val="003C4061"/>
    <w:rsid w:val="003C40AC"/>
    <w:rsid w:val="003C4954"/>
    <w:rsid w:val="003C514F"/>
    <w:rsid w:val="003C51F6"/>
    <w:rsid w:val="003C58DC"/>
    <w:rsid w:val="003C5F55"/>
    <w:rsid w:val="003C5FC3"/>
    <w:rsid w:val="003C63B8"/>
    <w:rsid w:val="003C69E1"/>
    <w:rsid w:val="003C6C32"/>
    <w:rsid w:val="003C765F"/>
    <w:rsid w:val="003C7698"/>
    <w:rsid w:val="003C79FF"/>
    <w:rsid w:val="003D0046"/>
    <w:rsid w:val="003D0132"/>
    <w:rsid w:val="003D0328"/>
    <w:rsid w:val="003D0986"/>
    <w:rsid w:val="003D1B0E"/>
    <w:rsid w:val="003D1BC2"/>
    <w:rsid w:val="003D202B"/>
    <w:rsid w:val="003D2A14"/>
    <w:rsid w:val="003D2D5A"/>
    <w:rsid w:val="003D3928"/>
    <w:rsid w:val="003D45CA"/>
    <w:rsid w:val="003D46C7"/>
    <w:rsid w:val="003D576B"/>
    <w:rsid w:val="003D592A"/>
    <w:rsid w:val="003D605B"/>
    <w:rsid w:val="003D6766"/>
    <w:rsid w:val="003D6935"/>
    <w:rsid w:val="003D6DBF"/>
    <w:rsid w:val="003D6F49"/>
    <w:rsid w:val="003D7042"/>
    <w:rsid w:val="003D7631"/>
    <w:rsid w:val="003D76F9"/>
    <w:rsid w:val="003D7EA0"/>
    <w:rsid w:val="003E1100"/>
    <w:rsid w:val="003E1B26"/>
    <w:rsid w:val="003E20BE"/>
    <w:rsid w:val="003E245F"/>
    <w:rsid w:val="003E267B"/>
    <w:rsid w:val="003E26B8"/>
    <w:rsid w:val="003E297C"/>
    <w:rsid w:val="003E29A1"/>
    <w:rsid w:val="003E2A09"/>
    <w:rsid w:val="003E3196"/>
    <w:rsid w:val="003E384C"/>
    <w:rsid w:val="003E3E95"/>
    <w:rsid w:val="003E3EDC"/>
    <w:rsid w:val="003E450D"/>
    <w:rsid w:val="003E45AD"/>
    <w:rsid w:val="003E4B14"/>
    <w:rsid w:val="003E5B52"/>
    <w:rsid w:val="003E5C10"/>
    <w:rsid w:val="003E5DD0"/>
    <w:rsid w:val="003E5E66"/>
    <w:rsid w:val="003E62D4"/>
    <w:rsid w:val="003E6453"/>
    <w:rsid w:val="003E655B"/>
    <w:rsid w:val="003E6D56"/>
    <w:rsid w:val="003E6DD4"/>
    <w:rsid w:val="003E6F33"/>
    <w:rsid w:val="003E787A"/>
    <w:rsid w:val="003E7BC5"/>
    <w:rsid w:val="003E7FB2"/>
    <w:rsid w:val="003F00CE"/>
    <w:rsid w:val="003F0787"/>
    <w:rsid w:val="003F0BB1"/>
    <w:rsid w:val="003F0CB2"/>
    <w:rsid w:val="003F1053"/>
    <w:rsid w:val="003F1542"/>
    <w:rsid w:val="003F1B37"/>
    <w:rsid w:val="003F1DF2"/>
    <w:rsid w:val="003F1F8F"/>
    <w:rsid w:val="003F2680"/>
    <w:rsid w:val="003F26B8"/>
    <w:rsid w:val="003F372D"/>
    <w:rsid w:val="003F3F9C"/>
    <w:rsid w:val="003F4742"/>
    <w:rsid w:val="003F54BE"/>
    <w:rsid w:val="003F5608"/>
    <w:rsid w:val="003F5883"/>
    <w:rsid w:val="003F58A0"/>
    <w:rsid w:val="003F61A3"/>
    <w:rsid w:val="003F637F"/>
    <w:rsid w:val="003F6A92"/>
    <w:rsid w:val="003F6C12"/>
    <w:rsid w:val="003F6C37"/>
    <w:rsid w:val="003F6E98"/>
    <w:rsid w:val="003F720E"/>
    <w:rsid w:val="003F73F8"/>
    <w:rsid w:val="003F7DC2"/>
    <w:rsid w:val="00400537"/>
    <w:rsid w:val="0040072E"/>
    <w:rsid w:val="00400A38"/>
    <w:rsid w:val="00400AFB"/>
    <w:rsid w:val="004011EA"/>
    <w:rsid w:val="00401716"/>
    <w:rsid w:val="00401950"/>
    <w:rsid w:val="00401964"/>
    <w:rsid w:val="0040230F"/>
    <w:rsid w:val="0040289B"/>
    <w:rsid w:val="00402DA4"/>
    <w:rsid w:val="00403016"/>
    <w:rsid w:val="00403068"/>
    <w:rsid w:val="004037F3"/>
    <w:rsid w:val="00403DB3"/>
    <w:rsid w:val="004041CE"/>
    <w:rsid w:val="004046F3"/>
    <w:rsid w:val="00404891"/>
    <w:rsid w:val="00404ACE"/>
    <w:rsid w:val="00404C5F"/>
    <w:rsid w:val="00404F10"/>
    <w:rsid w:val="00405775"/>
    <w:rsid w:val="00405B2F"/>
    <w:rsid w:val="00406140"/>
    <w:rsid w:val="00406F2B"/>
    <w:rsid w:val="004074CA"/>
    <w:rsid w:val="004078E4"/>
    <w:rsid w:val="00407B8A"/>
    <w:rsid w:val="00407D48"/>
    <w:rsid w:val="00410461"/>
    <w:rsid w:val="00410DD5"/>
    <w:rsid w:val="00410E03"/>
    <w:rsid w:val="00411F46"/>
    <w:rsid w:val="00412224"/>
    <w:rsid w:val="0041280E"/>
    <w:rsid w:val="00413185"/>
    <w:rsid w:val="0041322E"/>
    <w:rsid w:val="004135BB"/>
    <w:rsid w:val="004139CA"/>
    <w:rsid w:val="004146D2"/>
    <w:rsid w:val="004147BE"/>
    <w:rsid w:val="00415039"/>
    <w:rsid w:val="004156BE"/>
    <w:rsid w:val="0041581B"/>
    <w:rsid w:val="00415E5F"/>
    <w:rsid w:val="00416B59"/>
    <w:rsid w:val="00416F44"/>
    <w:rsid w:val="0041700F"/>
    <w:rsid w:val="004170F4"/>
    <w:rsid w:val="004173DF"/>
    <w:rsid w:val="00420448"/>
    <w:rsid w:val="00420BD6"/>
    <w:rsid w:val="00421667"/>
    <w:rsid w:val="004216F0"/>
    <w:rsid w:val="00422CD9"/>
    <w:rsid w:val="0042386F"/>
    <w:rsid w:val="00424361"/>
    <w:rsid w:val="00424891"/>
    <w:rsid w:val="004249AE"/>
    <w:rsid w:val="004249E4"/>
    <w:rsid w:val="00424AEF"/>
    <w:rsid w:val="00425287"/>
    <w:rsid w:val="0042544A"/>
    <w:rsid w:val="00425664"/>
    <w:rsid w:val="0042566F"/>
    <w:rsid w:val="004259E7"/>
    <w:rsid w:val="00425BDF"/>
    <w:rsid w:val="00426153"/>
    <w:rsid w:val="00426F53"/>
    <w:rsid w:val="004277AF"/>
    <w:rsid w:val="0042781E"/>
    <w:rsid w:val="00427A37"/>
    <w:rsid w:val="00427ACD"/>
    <w:rsid w:val="00427CE0"/>
    <w:rsid w:val="00427F06"/>
    <w:rsid w:val="00430466"/>
    <w:rsid w:val="00430C46"/>
    <w:rsid w:val="00431084"/>
    <w:rsid w:val="004316F7"/>
    <w:rsid w:val="00431F36"/>
    <w:rsid w:val="00431FCC"/>
    <w:rsid w:val="0043231B"/>
    <w:rsid w:val="0043240F"/>
    <w:rsid w:val="004325C0"/>
    <w:rsid w:val="00432BEE"/>
    <w:rsid w:val="00432E4A"/>
    <w:rsid w:val="004332CE"/>
    <w:rsid w:val="00433449"/>
    <w:rsid w:val="00433886"/>
    <w:rsid w:val="0043400E"/>
    <w:rsid w:val="0043416E"/>
    <w:rsid w:val="00434539"/>
    <w:rsid w:val="00434DF3"/>
    <w:rsid w:val="004350F8"/>
    <w:rsid w:val="00435CCF"/>
    <w:rsid w:val="004365A3"/>
    <w:rsid w:val="00436971"/>
    <w:rsid w:val="00437413"/>
    <w:rsid w:val="00437856"/>
    <w:rsid w:val="00437C4C"/>
    <w:rsid w:val="00437EFA"/>
    <w:rsid w:val="00440C09"/>
    <w:rsid w:val="0044149E"/>
    <w:rsid w:val="00441635"/>
    <w:rsid w:val="00442AFA"/>
    <w:rsid w:val="00442B85"/>
    <w:rsid w:val="00443835"/>
    <w:rsid w:val="00443A57"/>
    <w:rsid w:val="0044418E"/>
    <w:rsid w:val="00444455"/>
    <w:rsid w:val="00444D03"/>
    <w:rsid w:val="00444D8F"/>
    <w:rsid w:val="004454E5"/>
    <w:rsid w:val="00445895"/>
    <w:rsid w:val="004459F0"/>
    <w:rsid w:val="00445D3C"/>
    <w:rsid w:val="00445E10"/>
    <w:rsid w:val="00445FE1"/>
    <w:rsid w:val="0044626A"/>
    <w:rsid w:val="00446B13"/>
    <w:rsid w:val="00446B89"/>
    <w:rsid w:val="0044705F"/>
    <w:rsid w:val="004470CA"/>
    <w:rsid w:val="00447255"/>
    <w:rsid w:val="0044758A"/>
    <w:rsid w:val="004478FC"/>
    <w:rsid w:val="004479F2"/>
    <w:rsid w:val="00447C86"/>
    <w:rsid w:val="00450BEA"/>
    <w:rsid w:val="00450C0B"/>
    <w:rsid w:val="0045112C"/>
    <w:rsid w:val="00451144"/>
    <w:rsid w:val="00451445"/>
    <w:rsid w:val="004517E8"/>
    <w:rsid w:val="0045191A"/>
    <w:rsid w:val="0045194E"/>
    <w:rsid w:val="00451DA0"/>
    <w:rsid w:val="00452380"/>
    <w:rsid w:val="00452F35"/>
    <w:rsid w:val="004536B8"/>
    <w:rsid w:val="004536E9"/>
    <w:rsid w:val="00453D37"/>
    <w:rsid w:val="00454468"/>
    <w:rsid w:val="0045451E"/>
    <w:rsid w:val="004547CD"/>
    <w:rsid w:val="00454A9D"/>
    <w:rsid w:val="00454E2E"/>
    <w:rsid w:val="004557EA"/>
    <w:rsid w:val="004559EF"/>
    <w:rsid w:val="00455C50"/>
    <w:rsid w:val="0045634D"/>
    <w:rsid w:val="00456376"/>
    <w:rsid w:val="00456427"/>
    <w:rsid w:val="0045665C"/>
    <w:rsid w:val="00456905"/>
    <w:rsid w:val="00456CB0"/>
    <w:rsid w:val="00457727"/>
    <w:rsid w:val="00457842"/>
    <w:rsid w:val="00457C4F"/>
    <w:rsid w:val="00457D9B"/>
    <w:rsid w:val="00457EEC"/>
    <w:rsid w:val="00460BFC"/>
    <w:rsid w:val="00460C1D"/>
    <w:rsid w:val="00460EF5"/>
    <w:rsid w:val="00461E15"/>
    <w:rsid w:val="00462149"/>
    <w:rsid w:val="004621E6"/>
    <w:rsid w:val="0046235E"/>
    <w:rsid w:val="004628D4"/>
    <w:rsid w:val="00462DAB"/>
    <w:rsid w:val="0046345A"/>
    <w:rsid w:val="0046390E"/>
    <w:rsid w:val="00463BC3"/>
    <w:rsid w:val="00463C21"/>
    <w:rsid w:val="00463C3A"/>
    <w:rsid w:val="00463DE6"/>
    <w:rsid w:val="00465630"/>
    <w:rsid w:val="00465E6C"/>
    <w:rsid w:val="00466482"/>
    <w:rsid w:val="004674B6"/>
    <w:rsid w:val="0046776A"/>
    <w:rsid w:val="004702D2"/>
    <w:rsid w:val="00470954"/>
    <w:rsid w:val="004720DD"/>
    <w:rsid w:val="004734ED"/>
    <w:rsid w:val="004736E8"/>
    <w:rsid w:val="00473A5F"/>
    <w:rsid w:val="00473B9B"/>
    <w:rsid w:val="00473F94"/>
    <w:rsid w:val="0047419D"/>
    <w:rsid w:val="00474376"/>
    <w:rsid w:val="004746BD"/>
    <w:rsid w:val="00474FC3"/>
    <w:rsid w:val="00475307"/>
    <w:rsid w:val="0047541C"/>
    <w:rsid w:val="004754B8"/>
    <w:rsid w:val="00475615"/>
    <w:rsid w:val="00475B39"/>
    <w:rsid w:val="00475B7E"/>
    <w:rsid w:val="0047610B"/>
    <w:rsid w:val="00476490"/>
    <w:rsid w:val="0047681C"/>
    <w:rsid w:val="00476CD7"/>
    <w:rsid w:val="00476D86"/>
    <w:rsid w:val="00477148"/>
    <w:rsid w:val="0047770A"/>
    <w:rsid w:val="00477AA2"/>
    <w:rsid w:val="00477FDF"/>
    <w:rsid w:val="0048023D"/>
    <w:rsid w:val="004809D0"/>
    <w:rsid w:val="0048176F"/>
    <w:rsid w:val="00481900"/>
    <w:rsid w:val="00481D58"/>
    <w:rsid w:val="00481D9B"/>
    <w:rsid w:val="004821F7"/>
    <w:rsid w:val="004826E7"/>
    <w:rsid w:val="00482877"/>
    <w:rsid w:val="0048290D"/>
    <w:rsid w:val="00483E89"/>
    <w:rsid w:val="00483FB2"/>
    <w:rsid w:val="004840D8"/>
    <w:rsid w:val="00484119"/>
    <w:rsid w:val="004842CF"/>
    <w:rsid w:val="00484A41"/>
    <w:rsid w:val="00485209"/>
    <w:rsid w:val="004854F1"/>
    <w:rsid w:val="00485B3A"/>
    <w:rsid w:val="00486873"/>
    <w:rsid w:val="00486E8D"/>
    <w:rsid w:val="004871A8"/>
    <w:rsid w:val="004873F6"/>
    <w:rsid w:val="00487BFD"/>
    <w:rsid w:val="0049068D"/>
    <w:rsid w:val="004907C0"/>
    <w:rsid w:val="00490CC8"/>
    <w:rsid w:val="00491B00"/>
    <w:rsid w:val="00491EE0"/>
    <w:rsid w:val="0049257E"/>
    <w:rsid w:val="004930B3"/>
    <w:rsid w:val="004930BF"/>
    <w:rsid w:val="004932AD"/>
    <w:rsid w:val="004942FA"/>
    <w:rsid w:val="0049624B"/>
    <w:rsid w:val="00496958"/>
    <w:rsid w:val="00497107"/>
    <w:rsid w:val="00497317"/>
    <w:rsid w:val="004979C0"/>
    <w:rsid w:val="004A04E3"/>
    <w:rsid w:val="004A0628"/>
    <w:rsid w:val="004A0666"/>
    <w:rsid w:val="004A08CB"/>
    <w:rsid w:val="004A10F1"/>
    <w:rsid w:val="004A1176"/>
    <w:rsid w:val="004A14E0"/>
    <w:rsid w:val="004A15A3"/>
    <w:rsid w:val="004A164B"/>
    <w:rsid w:val="004A18BA"/>
    <w:rsid w:val="004A2109"/>
    <w:rsid w:val="004A3047"/>
    <w:rsid w:val="004A36C3"/>
    <w:rsid w:val="004A3904"/>
    <w:rsid w:val="004A39B8"/>
    <w:rsid w:val="004A3A50"/>
    <w:rsid w:val="004A3E25"/>
    <w:rsid w:val="004A6792"/>
    <w:rsid w:val="004A6D72"/>
    <w:rsid w:val="004A6FBB"/>
    <w:rsid w:val="004A7367"/>
    <w:rsid w:val="004A76C8"/>
    <w:rsid w:val="004A7923"/>
    <w:rsid w:val="004A7BF0"/>
    <w:rsid w:val="004A7EEC"/>
    <w:rsid w:val="004A7FF4"/>
    <w:rsid w:val="004B0084"/>
    <w:rsid w:val="004B023B"/>
    <w:rsid w:val="004B0D00"/>
    <w:rsid w:val="004B0D6C"/>
    <w:rsid w:val="004B10BE"/>
    <w:rsid w:val="004B1219"/>
    <w:rsid w:val="004B1B22"/>
    <w:rsid w:val="004B2193"/>
    <w:rsid w:val="004B21CA"/>
    <w:rsid w:val="004B2CA4"/>
    <w:rsid w:val="004B2ED1"/>
    <w:rsid w:val="004B402F"/>
    <w:rsid w:val="004B45A6"/>
    <w:rsid w:val="004B4974"/>
    <w:rsid w:val="004B49E4"/>
    <w:rsid w:val="004B5302"/>
    <w:rsid w:val="004B539F"/>
    <w:rsid w:val="004B5630"/>
    <w:rsid w:val="004B56CE"/>
    <w:rsid w:val="004B56D4"/>
    <w:rsid w:val="004B5E91"/>
    <w:rsid w:val="004B64DC"/>
    <w:rsid w:val="004B65AA"/>
    <w:rsid w:val="004B6DDF"/>
    <w:rsid w:val="004B6E19"/>
    <w:rsid w:val="004B790A"/>
    <w:rsid w:val="004C007B"/>
    <w:rsid w:val="004C069A"/>
    <w:rsid w:val="004C17A7"/>
    <w:rsid w:val="004C1BAA"/>
    <w:rsid w:val="004C27B5"/>
    <w:rsid w:val="004C315B"/>
    <w:rsid w:val="004C31C4"/>
    <w:rsid w:val="004C3329"/>
    <w:rsid w:val="004C436D"/>
    <w:rsid w:val="004C44BA"/>
    <w:rsid w:val="004C54FE"/>
    <w:rsid w:val="004C58C6"/>
    <w:rsid w:val="004C5C35"/>
    <w:rsid w:val="004C6298"/>
    <w:rsid w:val="004C6B25"/>
    <w:rsid w:val="004C77E0"/>
    <w:rsid w:val="004C7960"/>
    <w:rsid w:val="004C7CB1"/>
    <w:rsid w:val="004C7D2E"/>
    <w:rsid w:val="004C7F84"/>
    <w:rsid w:val="004D08C0"/>
    <w:rsid w:val="004D0A27"/>
    <w:rsid w:val="004D0B6F"/>
    <w:rsid w:val="004D0BBA"/>
    <w:rsid w:val="004D0E97"/>
    <w:rsid w:val="004D14D2"/>
    <w:rsid w:val="004D201C"/>
    <w:rsid w:val="004D2C45"/>
    <w:rsid w:val="004D32CF"/>
    <w:rsid w:val="004D34EC"/>
    <w:rsid w:val="004D41C4"/>
    <w:rsid w:val="004D430A"/>
    <w:rsid w:val="004D441B"/>
    <w:rsid w:val="004D4547"/>
    <w:rsid w:val="004D4659"/>
    <w:rsid w:val="004D48B0"/>
    <w:rsid w:val="004D4B1D"/>
    <w:rsid w:val="004D4D41"/>
    <w:rsid w:val="004D536A"/>
    <w:rsid w:val="004D5CEC"/>
    <w:rsid w:val="004D5CFB"/>
    <w:rsid w:val="004D6B51"/>
    <w:rsid w:val="004D7362"/>
    <w:rsid w:val="004D75EC"/>
    <w:rsid w:val="004D7839"/>
    <w:rsid w:val="004D79C9"/>
    <w:rsid w:val="004D7BD0"/>
    <w:rsid w:val="004D7C46"/>
    <w:rsid w:val="004D7F42"/>
    <w:rsid w:val="004E002B"/>
    <w:rsid w:val="004E0B86"/>
    <w:rsid w:val="004E0FEC"/>
    <w:rsid w:val="004E11A9"/>
    <w:rsid w:val="004E28F6"/>
    <w:rsid w:val="004E32AB"/>
    <w:rsid w:val="004E32DD"/>
    <w:rsid w:val="004E506C"/>
    <w:rsid w:val="004E54FF"/>
    <w:rsid w:val="004E5812"/>
    <w:rsid w:val="004E5E94"/>
    <w:rsid w:val="004E654D"/>
    <w:rsid w:val="004E6A5F"/>
    <w:rsid w:val="004E6D13"/>
    <w:rsid w:val="004E7402"/>
    <w:rsid w:val="004E7EC7"/>
    <w:rsid w:val="004F00EF"/>
    <w:rsid w:val="004F0D22"/>
    <w:rsid w:val="004F0EF2"/>
    <w:rsid w:val="004F0F8B"/>
    <w:rsid w:val="004F109C"/>
    <w:rsid w:val="004F149F"/>
    <w:rsid w:val="004F1964"/>
    <w:rsid w:val="004F197C"/>
    <w:rsid w:val="004F27E1"/>
    <w:rsid w:val="004F2EF4"/>
    <w:rsid w:val="004F304E"/>
    <w:rsid w:val="004F3505"/>
    <w:rsid w:val="004F3EDF"/>
    <w:rsid w:val="004F44D5"/>
    <w:rsid w:val="004F461D"/>
    <w:rsid w:val="004F48E4"/>
    <w:rsid w:val="004F5CE1"/>
    <w:rsid w:val="004F72A9"/>
    <w:rsid w:val="004F7E14"/>
    <w:rsid w:val="005005DD"/>
    <w:rsid w:val="005006C0"/>
    <w:rsid w:val="00500E72"/>
    <w:rsid w:val="00501DA9"/>
    <w:rsid w:val="0050200B"/>
    <w:rsid w:val="00502135"/>
    <w:rsid w:val="00502AFB"/>
    <w:rsid w:val="00502F97"/>
    <w:rsid w:val="005035E9"/>
    <w:rsid w:val="00503D43"/>
    <w:rsid w:val="005040BA"/>
    <w:rsid w:val="005045B0"/>
    <w:rsid w:val="00504CD8"/>
    <w:rsid w:val="00504F9C"/>
    <w:rsid w:val="00505213"/>
    <w:rsid w:val="005059EB"/>
    <w:rsid w:val="0050633B"/>
    <w:rsid w:val="0050646E"/>
    <w:rsid w:val="005076EC"/>
    <w:rsid w:val="00507D6E"/>
    <w:rsid w:val="0051084B"/>
    <w:rsid w:val="005110E3"/>
    <w:rsid w:val="00511742"/>
    <w:rsid w:val="00511885"/>
    <w:rsid w:val="005118DC"/>
    <w:rsid w:val="00511C36"/>
    <w:rsid w:val="00511CEC"/>
    <w:rsid w:val="00511F15"/>
    <w:rsid w:val="0051209F"/>
    <w:rsid w:val="005128DA"/>
    <w:rsid w:val="00512B54"/>
    <w:rsid w:val="005134F9"/>
    <w:rsid w:val="00513824"/>
    <w:rsid w:val="00513DA9"/>
    <w:rsid w:val="00513F5E"/>
    <w:rsid w:val="0051440F"/>
    <w:rsid w:val="00514527"/>
    <w:rsid w:val="0051480D"/>
    <w:rsid w:val="00514AEE"/>
    <w:rsid w:val="00514CCC"/>
    <w:rsid w:val="00514FAF"/>
    <w:rsid w:val="00515E05"/>
    <w:rsid w:val="00515EA5"/>
    <w:rsid w:val="0051603F"/>
    <w:rsid w:val="00516498"/>
    <w:rsid w:val="0051692D"/>
    <w:rsid w:val="00516B31"/>
    <w:rsid w:val="00517366"/>
    <w:rsid w:val="005176CA"/>
    <w:rsid w:val="00517DE3"/>
    <w:rsid w:val="00520015"/>
    <w:rsid w:val="00520539"/>
    <w:rsid w:val="00520555"/>
    <w:rsid w:val="00520B48"/>
    <w:rsid w:val="00520B91"/>
    <w:rsid w:val="00520F1D"/>
    <w:rsid w:val="0052162D"/>
    <w:rsid w:val="00521671"/>
    <w:rsid w:val="0052187C"/>
    <w:rsid w:val="00521B08"/>
    <w:rsid w:val="00521F18"/>
    <w:rsid w:val="00522571"/>
    <w:rsid w:val="00522F03"/>
    <w:rsid w:val="00522F2C"/>
    <w:rsid w:val="00523095"/>
    <w:rsid w:val="005232F1"/>
    <w:rsid w:val="00523560"/>
    <w:rsid w:val="00523561"/>
    <w:rsid w:val="0052370C"/>
    <w:rsid w:val="00523837"/>
    <w:rsid w:val="0052396A"/>
    <w:rsid w:val="0052486D"/>
    <w:rsid w:val="00525F06"/>
    <w:rsid w:val="005261D4"/>
    <w:rsid w:val="005263C0"/>
    <w:rsid w:val="00526A7F"/>
    <w:rsid w:val="005274D4"/>
    <w:rsid w:val="00527A77"/>
    <w:rsid w:val="00527D6D"/>
    <w:rsid w:val="00530516"/>
    <w:rsid w:val="005306CB"/>
    <w:rsid w:val="005307FC"/>
    <w:rsid w:val="00530824"/>
    <w:rsid w:val="00530C58"/>
    <w:rsid w:val="00530FF8"/>
    <w:rsid w:val="00531B19"/>
    <w:rsid w:val="00531C6A"/>
    <w:rsid w:val="00532454"/>
    <w:rsid w:val="0053286C"/>
    <w:rsid w:val="005329AB"/>
    <w:rsid w:val="00532AFB"/>
    <w:rsid w:val="00532B6A"/>
    <w:rsid w:val="00532F67"/>
    <w:rsid w:val="00533D6D"/>
    <w:rsid w:val="005342D3"/>
    <w:rsid w:val="00534F41"/>
    <w:rsid w:val="0053510D"/>
    <w:rsid w:val="00535258"/>
    <w:rsid w:val="0053588F"/>
    <w:rsid w:val="00535CA6"/>
    <w:rsid w:val="00535E4E"/>
    <w:rsid w:val="0053627B"/>
    <w:rsid w:val="00536632"/>
    <w:rsid w:val="00536670"/>
    <w:rsid w:val="005369CB"/>
    <w:rsid w:val="005369CF"/>
    <w:rsid w:val="00536B07"/>
    <w:rsid w:val="00536EB0"/>
    <w:rsid w:val="00537C47"/>
    <w:rsid w:val="00537D20"/>
    <w:rsid w:val="00537F8A"/>
    <w:rsid w:val="005402C7"/>
    <w:rsid w:val="0054034D"/>
    <w:rsid w:val="00540513"/>
    <w:rsid w:val="005409AB"/>
    <w:rsid w:val="00540A94"/>
    <w:rsid w:val="00541115"/>
    <w:rsid w:val="00541222"/>
    <w:rsid w:val="005414D2"/>
    <w:rsid w:val="00541690"/>
    <w:rsid w:val="00542A42"/>
    <w:rsid w:val="00542D69"/>
    <w:rsid w:val="005432D0"/>
    <w:rsid w:val="005435F2"/>
    <w:rsid w:val="00544259"/>
    <w:rsid w:val="005443DE"/>
    <w:rsid w:val="00544A00"/>
    <w:rsid w:val="00544CE6"/>
    <w:rsid w:val="00544FA5"/>
    <w:rsid w:val="0054577F"/>
    <w:rsid w:val="00546441"/>
    <w:rsid w:val="00546626"/>
    <w:rsid w:val="0054681D"/>
    <w:rsid w:val="00546B02"/>
    <w:rsid w:val="005476A4"/>
    <w:rsid w:val="005479AB"/>
    <w:rsid w:val="00547C8F"/>
    <w:rsid w:val="00547D84"/>
    <w:rsid w:val="005503D4"/>
    <w:rsid w:val="00550580"/>
    <w:rsid w:val="00550BCB"/>
    <w:rsid w:val="0055102C"/>
    <w:rsid w:val="005513CB"/>
    <w:rsid w:val="00551C72"/>
    <w:rsid w:val="005521AF"/>
    <w:rsid w:val="005523EB"/>
    <w:rsid w:val="005523F6"/>
    <w:rsid w:val="00552737"/>
    <w:rsid w:val="005529CB"/>
    <w:rsid w:val="00552E0C"/>
    <w:rsid w:val="0055377F"/>
    <w:rsid w:val="00553C61"/>
    <w:rsid w:val="00553D22"/>
    <w:rsid w:val="00553EED"/>
    <w:rsid w:val="00553F23"/>
    <w:rsid w:val="005541D7"/>
    <w:rsid w:val="005542B2"/>
    <w:rsid w:val="005546F1"/>
    <w:rsid w:val="005550C7"/>
    <w:rsid w:val="00555C88"/>
    <w:rsid w:val="00555D95"/>
    <w:rsid w:val="00555DD1"/>
    <w:rsid w:val="00557112"/>
    <w:rsid w:val="0055715B"/>
    <w:rsid w:val="00557777"/>
    <w:rsid w:val="00557C87"/>
    <w:rsid w:val="00560836"/>
    <w:rsid w:val="00560CB0"/>
    <w:rsid w:val="00560FDC"/>
    <w:rsid w:val="00561C3B"/>
    <w:rsid w:val="00561EA4"/>
    <w:rsid w:val="005627EF"/>
    <w:rsid w:val="0056286C"/>
    <w:rsid w:val="00564065"/>
    <w:rsid w:val="00564199"/>
    <w:rsid w:val="005646CB"/>
    <w:rsid w:val="00564968"/>
    <w:rsid w:val="00564B35"/>
    <w:rsid w:val="0056501A"/>
    <w:rsid w:val="005650C0"/>
    <w:rsid w:val="00565426"/>
    <w:rsid w:val="0056607C"/>
    <w:rsid w:val="00566108"/>
    <w:rsid w:val="00566434"/>
    <w:rsid w:val="00566A0F"/>
    <w:rsid w:val="00566FFC"/>
    <w:rsid w:val="0056786F"/>
    <w:rsid w:val="005705D8"/>
    <w:rsid w:val="00570A22"/>
    <w:rsid w:val="00570BD8"/>
    <w:rsid w:val="00570D05"/>
    <w:rsid w:val="005711A7"/>
    <w:rsid w:val="0057195A"/>
    <w:rsid w:val="00572226"/>
    <w:rsid w:val="005724E7"/>
    <w:rsid w:val="00573691"/>
    <w:rsid w:val="00573A41"/>
    <w:rsid w:val="00573D38"/>
    <w:rsid w:val="00574164"/>
    <w:rsid w:val="0057431D"/>
    <w:rsid w:val="00574351"/>
    <w:rsid w:val="00574615"/>
    <w:rsid w:val="005749D5"/>
    <w:rsid w:val="00574E50"/>
    <w:rsid w:val="00574EB3"/>
    <w:rsid w:val="00575237"/>
    <w:rsid w:val="00576233"/>
    <w:rsid w:val="0057692F"/>
    <w:rsid w:val="00576F6F"/>
    <w:rsid w:val="005773A3"/>
    <w:rsid w:val="00577B40"/>
    <w:rsid w:val="00580240"/>
    <w:rsid w:val="00580346"/>
    <w:rsid w:val="005804CE"/>
    <w:rsid w:val="00580B55"/>
    <w:rsid w:val="00580E00"/>
    <w:rsid w:val="00580E1B"/>
    <w:rsid w:val="00580E95"/>
    <w:rsid w:val="00581C51"/>
    <w:rsid w:val="00581ECA"/>
    <w:rsid w:val="005820FE"/>
    <w:rsid w:val="00582CB0"/>
    <w:rsid w:val="00582E1A"/>
    <w:rsid w:val="00582F4A"/>
    <w:rsid w:val="0058308A"/>
    <w:rsid w:val="00583415"/>
    <w:rsid w:val="00584600"/>
    <w:rsid w:val="00584B93"/>
    <w:rsid w:val="005851DF"/>
    <w:rsid w:val="00585778"/>
    <w:rsid w:val="00585794"/>
    <w:rsid w:val="00586478"/>
    <w:rsid w:val="005869BC"/>
    <w:rsid w:val="00586BC0"/>
    <w:rsid w:val="0058715D"/>
    <w:rsid w:val="00590352"/>
    <w:rsid w:val="0059066F"/>
    <w:rsid w:val="005906DD"/>
    <w:rsid w:val="0059099B"/>
    <w:rsid w:val="00590EBC"/>
    <w:rsid w:val="0059141C"/>
    <w:rsid w:val="00591868"/>
    <w:rsid w:val="00591FBE"/>
    <w:rsid w:val="005924A8"/>
    <w:rsid w:val="00592537"/>
    <w:rsid w:val="00592667"/>
    <w:rsid w:val="005926DB"/>
    <w:rsid w:val="00592D7B"/>
    <w:rsid w:val="005935AB"/>
    <w:rsid w:val="00593C71"/>
    <w:rsid w:val="00593D16"/>
    <w:rsid w:val="00593FCF"/>
    <w:rsid w:val="0059438D"/>
    <w:rsid w:val="00594491"/>
    <w:rsid w:val="00594DDA"/>
    <w:rsid w:val="00594EF1"/>
    <w:rsid w:val="00594F30"/>
    <w:rsid w:val="00595C2F"/>
    <w:rsid w:val="00595FD2"/>
    <w:rsid w:val="00596586"/>
    <w:rsid w:val="005966E8"/>
    <w:rsid w:val="00596CD2"/>
    <w:rsid w:val="00596FA6"/>
    <w:rsid w:val="0059716C"/>
    <w:rsid w:val="005971C0"/>
    <w:rsid w:val="00597500"/>
    <w:rsid w:val="005979FF"/>
    <w:rsid w:val="00597E19"/>
    <w:rsid w:val="005A0039"/>
    <w:rsid w:val="005A0041"/>
    <w:rsid w:val="005A01BE"/>
    <w:rsid w:val="005A048F"/>
    <w:rsid w:val="005A0757"/>
    <w:rsid w:val="005A0DA3"/>
    <w:rsid w:val="005A10F5"/>
    <w:rsid w:val="005A1FB2"/>
    <w:rsid w:val="005A245E"/>
    <w:rsid w:val="005A2AB2"/>
    <w:rsid w:val="005A2ADF"/>
    <w:rsid w:val="005A333D"/>
    <w:rsid w:val="005A3341"/>
    <w:rsid w:val="005A34C7"/>
    <w:rsid w:val="005A34FE"/>
    <w:rsid w:val="005A3AB6"/>
    <w:rsid w:val="005A3EE9"/>
    <w:rsid w:val="005A4208"/>
    <w:rsid w:val="005A490A"/>
    <w:rsid w:val="005A4BBF"/>
    <w:rsid w:val="005A4EE2"/>
    <w:rsid w:val="005A4FBE"/>
    <w:rsid w:val="005A531B"/>
    <w:rsid w:val="005A557D"/>
    <w:rsid w:val="005A5DF6"/>
    <w:rsid w:val="005A60EB"/>
    <w:rsid w:val="005A67D4"/>
    <w:rsid w:val="005A6901"/>
    <w:rsid w:val="005A698C"/>
    <w:rsid w:val="005A7150"/>
    <w:rsid w:val="005A77C9"/>
    <w:rsid w:val="005A7A6E"/>
    <w:rsid w:val="005A7A91"/>
    <w:rsid w:val="005B1905"/>
    <w:rsid w:val="005B1961"/>
    <w:rsid w:val="005B1D37"/>
    <w:rsid w:val="005B25B4"/>
    <w:rsid w:val="005B2C11"/>
    <w:rsid w:val="005B2F59"/>
    <w:rsid w:val="005B31FE"/>
    <w:rsid w:val="005B3403"/>
    <w:rsid w:val="005B3801"/>
    <w:rsid w:val="005B3CCA"/>
    <w:rsid w:val="005B3DF8"/>
    <w:rsid w:val="005B42AE"/>
    <w:rsid w:val="005B42CA"/>
    <w:rsid w:val="005B439E"/>
    <w:rsid w:val="005B53C3"/>
    <w:rsid w:val="005B57C8"/>
    <w:rsid w:val="005B5E17"/>
    <w:rsid w:val="005B5E46"/>
    <w:rsid w:val="005B5FE8"/>
    <w:rsid w:val="005B68F1"/>
    <w:rsid w:val="005B7A60"/>
    <w:rsid w:val="005B7BB8"/>
    <w:rsid w:val="005C03F1"/>
    <w:rsid w:val="005C083E"/>
    <w:rsid w:val="005C0BD5"/>
    <w:rsid w:val="005C1CF6"/>
    <w:rsid w:val="005C1D19"/>
    <w:rsid w:val="005C1D2B"/>
    <w:rsid w:val="005C2181"/>
    <w:rsid w:val="005C28BA"/>
    <w:rsid w:val="005C2A6E"/>
    <w:rsid w:val="005C2B4A"/>
    <w:rsid w:val="005C3E52"/>
    <w:rsid w:val="005C4153"/>
    <w:rsid w:val="005C4837"/>
    <w:rsid w:val="005C4D2B"/>
    <w:rsid w:val="005C50D3"/>
    <w:rsid w:val="005C5895"/>
    <w:rsid w:val="005C60F5"/>
    <w:rsid w:val="005C61DC"/>
    <w:rsid w:val="005C661B"/>
    <w:rsid w:val="005C6758"/>
    <w:rsid w:val="005C67B5"/>
    <w:rsid w:val="005C681F"/>
    <w:rsid w:val="005C7661"/>
    <w:rsid w:val="005C79B4"/>
    <w:rsid w:val="005C7F51"/>
    <w:rsid w:val="005D0166"/>
    <w:rsid w:val="005D0514"/>
    <w:rsid w:val="005D074E"/>
    <w:rsid w:val="005D08D7"/>
    <w:rsid w:val="005D0D42"/>
    <w:rsid w:val="005D1240"/>
    <w:rsid w:val="005D18E5"/>
    <w:rsid w:val="005D277F"/>
    <w:rsid w:val="005D3018"/>
    <w:rsid w:val="005D3865"/>
    <w:rsid w:val="005D3B2D"/>
    <w:rsid w:val="005D3C34"/>
    <w:rsid w:val="005D3E45"/>
    <w:rsid w:val="005D3ECD"/>
    <w:rsid w:val="005D4336"/>
    <w:rsid w:val="005D4B6B"/>
    <w:rsid w:val="005D4B71"/>
    <w:rsid w:val="005D4EF4"/>
    <w:rsid w:val="005D51A7"/>
    <w:rsid w:val="005D55E0"/>
    <w:rsid w:val="005D6AFB"/>
    <w:rsid w:val="005D6F22"/>
    <w:rsid w:val="005D76A6"/>
    <w:rsid w:val="005D7C64"/>
    <w:rsid w:val="005E05E1"/>
    <w:rsid w:val="005E0953"/>
    <w:rsid w:val="005E09E7"/>
    <w:rsid w:val="005E0B72"/>
    <w:rsid w:val="005E1B64"/>
    <w:rsid w:val="005E1D4C"/>
    <w:rsid w:val="005E230A"/>
    <w:rsid w:val="005E32A2"/>
    <w:rsid w:val="005E33DB"/>
    <w:rsid w:val="005E3C41"/>
    <w:rsid w:val="005E4DF0"/>
    <w:rsid w:val="005E4EEF"/>
    <w:rsid w:val="005E5432"/>
    <w:rsid w:val="005E5D80"/>
    <w:rsid w:val="005E66E7"/>
    <w:rsid w:val="005E6AFB"/>
    <w:rsid w:val="005E6B0C"/>
    <w:rsid w:val="005E6C94"/>
    <w:rsid w:val="005E6D26"/>
    <w:rsid w:val="005E6E01"/>
    <w:rsid w:val="005E709B"/>
    <w:rsid w:val="005F00E8"/>
    <w:rsid w:val="005F044C"/>
    <w:rsid w:val="005F0B4A"/>
    <w:rsid w:val="005F0E7C"/>
    <w:rsid w:val="005F1A6F"/>
    <w:rsid w:val="005F1FA5"/>
    <w:rsid w:val="005F247C"/>
    <w:rsid w:val="005F2677"/>
    <w:rsid w:val="005F28CB"/>
    <w:rsid w:val="005F2C31"/>
    <w:rsid w:val="005F2EA7"/>
    <w:rsid w:val="005F3101"/>
    <w:rsid w:val="005F386B"/>
    <w:rsid w:val="005F3C9E"/>
    <w:rsid w:val="005F4B8F"/>
    <w:rsid w:val="005F4D75"/>
    <w:rsid w:val="005F5AE5"/>
    <w:rsid w:val="005F70C1"/>
    <w:rsid w:val="005F71FF"/>
    <w:rsid w:val="005F73D5"/>
    <w:rsid w:val="005F7B18"/>
    <w:rsid w:val="00600075"/>
    <w:rsid w:val="006003DC"/>
    <w:rsid w:val="006005B8"/>
    <w:rsid w:val="00600910"/>
    <w:rsid w:val="00600D53"/>
    <w:rsid w:val="00601160"/>
    <w:rsid w:val="006013FB"/>
    <w:rsid w:val="00601C4C"/>
    <w:rsid w:val="006021D4"/>
    <w:rsid w:val="00602795"/>
    <w:rsid w:val="00602D23"/>
    <w:rsid w:val="00603BD6"/>
    <w:rsid w:val="00604194"/>
    <w:rsid w:val="006041A1"/>
    <w:rsid w:val="00604529"/>
    <w:rsid w:val="0060468D"/>
    <w:rsid w:val="00604CD2"/>
    <w:rsid w:val="006053EA"/>
    <w:rsid w:val="00605578"/>
    <w:rsid w:val="00605C64"/>
    <w:rsid w:val="00605EC6"/>
    <w:rsid w:val="00606673"/>
    <w:rsid w:val="00607506"/>
    <w:rsid w:val="006075CE"/>
    <w:rsid w:val="006076ED"/>
    <w:rsid w:val="00607938"/>
    <w:rsid w:val="00607F08"/>
    <w:rsid w:val="006104E7"/>
    <w:rsid w:val="0061060D"/>
    <w:rsid w:val="00610BEB"/>
    <w:rsid w:val="00610E5A"/>
    <w:rsid w:val="00612305"/>
    <w:rsid w:val="00612645"/>
    <w:rsid w:val="0061272F"/>
    <w:rsid w:val="00612A36"/>
    <w:rsid w:val="00612E2D"/>
    <w:rsid w:val="00613037"/>
    <w:rsid w:val="00613045"/>
    <w:rsid w:val="00613229"/>
    <w:rsid w:val="006132A7"/>
    <w:rsid w:val="006138BF"/>
    <w:rsid w:val="00613B8F"/>
    <w:rsid w:val="00614452"/>
    <w:rsid w:val="006145EA"/>
    <w:rsid w:val="00614670"/>
    <w:rsid w:val="00614695"/>
    <w:rsid w:val="006151C0"/>
    <w:rsid w:val="0061589D"/>
    <w:rsid w:val="00615B13"/>
    <w:rsid w:val="00615CDA"/>
    <w:rsid w:val="006162C3"/>
    <w:rsid w:val="0061683C"/>
    <w:rsid w:val="006168F4"/>
    <w:rsid w:val="006169C3"/>
    <w:rsid w:val="00616B86"/>
    <w:rsid w:val="00616E1F"/>
    <w:rsid w:val="00617C89"/>
    <w:rsid w:val="00617CDB"/>
    <w:rsid w:val="006209D6"/>
    <w:rsid w:val="00620BD4"/>
    <w:rsid w:val="00620D61"/>
    <w:rsid w:val="00620D9F"/>
    <w:rsid w:val="00620F36"/>
    <w:rsid w:val="00620F87"/>
    <w:rsid w:val="00621801"/>
    <w:rsid w:val="006225C6"/>
    <w:rsid w:val="006233E8"/>
    <w:rsid w:val="00623673"/>
    <w:rsid w:val="00623C8B"/>
    <w:rsid w:val="006246A0"/>
    <w:rsid w:val="006247BE"/>
    <w:rsid w:val="00624EEF"/>
    <w:rsid w:val="00625379"/>
    <w:rsid w:val="00625491"/>
    <w:rsid w:val="0062554A"/>
    <w:rsid w:val="00625653"/>
    <w:rsid w:val="00625991"/>
    <w:rsid w:val="00625B6D"/>
    <w:rsid w:val="00625DC8"/>
    <w:rsid w:val="00625E67"/>
    <w:rsid w:val="00626038"/>
    <w:rsid w:val="006261EB"/>
    <w:rsid w:val="0062632C"/>
    <w:rsid w:val="006269AE"/>
    <w:rsid w:val="00626FF8"/>
    <w:rsid w:val="0062738E"/>
    <w:rsid w:val="006275CB"/>
    <w:rsid w:val="0063008E"/>
    <w:rsid w:val="006304B1"/>
    <w:rsid w:val="00630577"/>
    <w:rsid w:val="00630C2F"/>
    <w:rsid w:val="00630DC4"/>
    <w:rsid w:val="006310B5"/>
    <w:rsid w:val="00631511"/>
    <w:rsid w:val="006324DD"/>
    <w:rsid w:val="00632709"/>
    <w:rsid w:val="00632FA1"/>
    <w:rsid w:val="00633295"/>
    <w:rsid w:val="006333B3"/>
    <w:rsid w:val="00633412"/>
    <w:rsid w:val="00633795"/>
    <w:rsid w:val="00633881"/>
    <w:rsid w:val="00633983"/>
    <w:rsid w:val="00633CA5"/>
    <w:rsid w:val="00633EC8"/>
    <w:rsid w:val="006342F2"/>
    <w:rsid w:val="00634B59"/>
    <w:rsid w:val="00634BFF"/>
    <w:rsid w:val="00634D38"/>
    <w:rsid w:val="00634DAD"/>
    <w:rsid w:val="00634E2B"/>
    <w:rsid w:val="00634E3F"/>
    <w:rsid w:val="00636076"/>
    <w:rsid w:val="006360F1"/>
    <w:rsid w:val="006363CA"/>
    <w:rsid w:val="00636ABC"/>
    <w:rsid w:val="00636E14"/>
    <w:rsid w:val="00637265"/>
    <w:rsid w:val="00637705"/>
    <w:rsid w:val="00637A8F"/>
    <w:rsid w:val="00637B41"/>
    <w:rsid w:val="00637C18"/>
    <w:rsid w:val="006400C6"/>
    <w:rsid w:val="006400E6"/>
    <w:rsid w:val="00640624"/>
    <w:rsid w:val="00640E39"/>
    <w:rsid w:val="00640E8C"/>
    <w:rsid w:val="0064101E"/>
    <w:rsid w:val="0064112B"/>
    <w:rsid w:val="00641BD2"/>
    <w:rsid w:val="0064220D"/>
    <w:rsid w:val="00642F1F"/>
    <w:rsid w:val="00642F4E"/>
    <w:rsid w:val="00642FE4"/>
    <w:rsid w:val="00643155"/>
    <w:rsid w:val="006432F6"/>
    <w:rsid w:val="00643F92"/>
    <w:rsid w:val="006440EF"/>
    <w:rsid w:val="00644498"/>
    <w:rsid w:val="0064469F"/>
    <w:rsid w:val="006448A1"/>
    <w:rsid w:val="00644B0F"/>
    <w:rsid w:val="00644D89"/>
    <w:rsid w:val="006450B6"/>
    <w:rsid w:val="0064514B"/>
    <w:rsid w:val="0064562D"/>
    <w:rsid w:val="00645719"/>
    <w:rsid w:val="0064581B"/>
    <w:rsid w:val="00646AAF"/>
    <w:rsid w:val="00646BD8"/>
    <w:rsid w:val="006470A3"/>
    <w:rsid w:val="00647687"/>
    <w:rsid w:val="006478EA"/>
    <w:rsid w:val="0065074E"/>
    <w:rsid w:val="00650768"/>
    <w:rsid w:val="0065091C"/>
    <w:rsid w:val="00650EB2"/>
    <w:rsid w:val="006511DE"/>
    <w:rsid w:val="00651BB0"/>
    <w:rsid w:val="006521E2"/>
    <w:rsid w:val="00652B53"/>
    <w:rsid w:val="00652EF2"/>
    <w:rsid w:val="00653D17"/>
    <w:rsid w:val="0065426A"/>
    <w:rsid w:val="006545D2"/>
    <w:rsid w:val="00654E44"/>
    <w:rsid w:val="00655A78"/>
    <w:rsid w:val="00655C75"/>
    <w:rsid w:val="006561D8"/>
    <w:rsid w:val="006565D5"/>
    <w:rsid w:val="0065718F"/>
    <w:rsid w:val="006572BD"/>
    <w:rsid w:val="00657533"/>
    <w:rsid w:val="006576AF"/>
    <w:rsid w:val="00657C77"/>
    <w:rsid w:val="00660023"/>
    <w:rsid w:val="00660575"/>
    <w:rsid w:val="006605D3"/>
    <w:rsid w:val="006607A4"/>
    <w:rsid w:val="00660813"/>
    <w:rsid w:val="00660E24"/>
    <w:rsid w:val="00660FF3"/>
    <w:rsid w:val="00661BC5"/>
    <w:rsid w:val="00662019"/>
    <w:rsid w:val="006620B3"/>
    <w:rsid w:val="0066279F"/>
    <w:rsid w:val="00662C4F"/>
    <w:rsid w:val="00663125"/>
    <w:rsid w:val="0066418E"/>
    <w:rsid w:val="006643EE"/>
    <w:rsid w:val="00665701"/>
    <w:rsid w:val="00665706"/>
    <w:rsid w:val="00665A85"/>
    <w:rsid w:val="00665A96"/>
    <w:rsid w:val="00665AC3"/>
    <w:rsid w:val="00665BF5"/>
    <w:rsid w:val="00666220"/>
    <w:rsid w:val="006662E4"/>
    <w:rsid w:val="0066647E"/>
    <w:rsid w:val="00670160"/>
    <w:rsid w:val="0067034A"/>
    <w:rsid w:val="006705D2"/>
    <w:rsid w:val="00670A85"/>
    <w:rsid w:val="00670F0A"/>
    <w:rsid w:val="00671B11"/>
    <w:rsid w:val="00671F51"/>
    <w:rsid w:val="00672949"/>
    <w:rsid w:val="00672A56"/>
    <w:rsid w:val="0067367E"/>
    <w:rsid w:val="00673857"/>
    <w:rsid w:val="006738D1"/>
    <w:rsid w:val="00673CC2"/>
    <w:rsid w:val="00673E8D"/>
    <w:rsid w:val="00674229"/>
    <w:rsid w:val="0067438E"/>
    <w:rsid w:val="00674FE5"/>
    <w:rsid w:val="00675356"/>
    <w:rsid w:val="00675554"/>
    <w:rsid w:val="00675830"/>
    <w:rsid w:val="00675AF6"/>
    <w:rsid w:val="006761D9"/>
    <w:rsid w:val="00676228"/>
    <w:rsid w:val="00676A27"/>
    <w:rsid w:val="00676BCC"/>
    <w:rsid w:val="00676D38"/>
    <w:rsid w:val="00677049"/>
    <w:rsid w:val="0068095B"/>
    <w:rsid w:val="00680C5C"/>
    <w:rsid w:val="00681318"/>
    <w:rsid w:val="0068179F"/>
    <w:rsid w:val="00681910"/>
    <w:rsid w:val="00681AC4"/>
    <w:rsid w:val="00681E86"/>
    <w:rsid w:val="006822DA"/>
    <w:rsid w:val="00682DB3"/>
    <w:rsid w:val="006838E9"/>
    <w:rsid w:val="00683A4A"/>
    <w:rsid w:val="00683B7D"/>
    <w:rsid w:val="00683D13"/>
    <w:rsid w:val="00683D69"/>
    <w:rsid w:val="006844A1"/>
    <w:rsid w:val="006848C0"/>
    <w:rsid w:val="00684F0E"/>
    <w:rsid w:val="0068526B"/>
    <w:rsid w:val="00685657"/>
    <w:rsid w:val="0068593E"/>
    <w:rsid w:val="006869D9"/>
    <w:rsid w:val="00687315"/>
    <w:rsid w:val="006874EF"/>
    <w:rsid w:val="00687DC5"/>
    <w:rsid w:val="00690154"/>
    <w:rsid w:val="00690998"/>
    <w:rsid w:val="00690A4F"/>
    <w:rsid w:val="00690F5A"/>
    <w:rsid w:val="00690F5C"/>
    <w:rsid w:val="00691101"/>
    <w:rsid w:val="006919B1"/>
    <w:rsid w:val="00691DB6"/>
    <w:rsid w:val="0069245A"/>
    <w:rsid w:val="00692A27"/>
    <w:rsid w:val="006935BE"/>
    <w:rsid w:val="006936B9"/>
    <w:rsid w:val="00693886"/>
    <w:rsid w:val="00694100"/>
    <w:rsid w:val="0069421F"/>
    <w:rsid w:val="006945C7"/>
    <w:rsid w:val="00694619"/>
    <w:rsid w:val="006949BD"/>
    <w:rsid w:val="00694E99"/>
    <w:rsid w:val="006957C0"/>
    <w:rsid w:val="00695B39"/>
    <w:rsid w:val="00696E08"/>
    <w:rsid w:val="0069742C"/>
    <w:rsid w:val="006976A2"/>
    <w:rsid w:val="006979C4"/>
    <w:rsid w:val="00697DD3"/>
    <w:rsid w:val="00697FA0"/>
    <w:rsid w:val="006A09B5"/>
    <w:rsid w:val="006A0A9A"/>
    <w:rsid w:val="006A0C2E"/>
    <w:rsid w:val="006A0C8D"/>
    <w:rsid w:val="006A0D21"/>
    <w:rsid w:val="006A1373"/>
    <w:rsid w:val="006A1420"/>
    <w:rsid w:val="006A1B07"/>
    <w:rsid w:val="006A1E34"/>
    <w:rsid w:val="006A2183"/>
    <w:rsid w:val="006A2303"/>
    <w:rsid w:val="006A28C3"/>
    <w:rsid w:val="006A28E9"/>
    <w:rsid w:val="006A2A0E"/>
    <w:rsid w:val="006A309D"/>
    <w:rsid w:val="006A339F"/>
    <w:rsid w:val="006A3E9E"/>
    <w:rsid w:val="006A535C"/>
    <w:rsid w:val="006A6369"/>
    <w:rsid w:val="006A6CE8"/>
    <w:rsid w:val="006A795C"/>
    <w:rsid w:val="006A7C02"/>
    <w:rsid w:val="006A7DAE"/>
    <w:rsid w:val="006B0136"/>
    <w:rsid w:val="006B07E2"/>
    <w:rsid w:val="006B0E9A"/>
    <w:rsid w:val="006B0FFC"/>
    <w:rsid w:val="006B109F"/>
    <w:rsid w:val="006B1316"/>
    <w:rsid w:val="006B1690"/>
    <w:rsid w:val="006B1798"/>
    <w:rsid w:val="006B19B2"/>
    <w:rsid w:val="006B1BF6"/>
    <w:rsid w:val="006B2000"/>
    <w:rsid w:val="006B2257"/>
    <w:rsid w:val="006B2494"/>
    <w:rsid w:val="006B3461"/>
    <w:rsid w:val="006B3626"/>
    <w:rsid w:val="006B43F3"/>
    <w:rsid w:val="006B445C"/>
    <w:rsid w:val="006B5192"/>
    <w:rsid w:val="006B5607"/>
    <w:rsid w:val="006B5A23"/>
    <w:rsid w:val="006B635B"/>
    <w:rsid w:val="006B6AF6"/>
    <w:rsid w:val="006B6AFE"/>
    <w:rsid w:val="006B7223"/>
    <w:rsid w:val="006B75EE"/>
    <w:rsid w:val="006B76C8"/>
    <w:rsid w:val="006B7FD3"/>
    <w:rsid w:val="006C0429"/>
    <w:rsid w:val="006C1243"/>
    <w:rsid w:val="006C18B7"/>
    <w:rsid w:val="006C1C46"/>
    <w:rsid w:val="006C2CE4"/>
    <w:rsid w:val="006C31D8"/>
    <w:rsid w:val="006C35FC"/>
    <w:rsid w:val="006C384B"/>
    <w:rsid w:val="006C3D9E"/>
    <w:rsid w:val="006C40E3"/>
    <w:rsid w:val="006C518C"/>
    <w:rsid w:val="006C53AE"/>
    <w:rsid w:val="006C5403"/>
    <w:rsid w:val="006C5B72"/>
    <w:rsid w:val="006C6242"/>
    <w:rsid w:val="006C62A5"/>
    <w:rsid w:val="006C6E11"/>
    <w:rsid w:val="006C72F5"/>
    <w:rsid w:val="006C7603"/>
    <w:rsid w:val="006C7E69"/>
    <w:rsid w:val="006D0408"/>
    <w:rsid w:val="006D07A6"/>
    <w:rsid w:val="006D092B"/>
    <w:rsid w:val="006D13D1"/>
    <w:rsid w:val="006D1658"/>
    <w:rsid w:val="006D1A84"/>
    <w:rsid w:val="006D1EEB"/>
    <w:rsid w:val="006D298A"/>
    <w:rsid w:val="006D2A97"/>
    <w:rsid w:val="006D2E5A"/>
    <w:rsid w:val="006D3198"/>
    <w:rsid w:val="006D3316"/>
    <w:rsid w:val="006D33BF"/>
    <w:rsid w:val="006D3653"/>
    <w:rsid w:val="006D3C6E"/>
    <w:rsid w:val="006D4082"/>
    <w:rsid w:val="006D40C7"/>
    <w:rsid w:val="006D47DA"/>
    <w:rsid w:val="006D54E1"/>
    <w:rsid w:val="006D5549"/>
    <w:rsid w:val="006D5668"/>
    <w:rsid w:val="006D5ED3"/>
    <w:rsid w:val="006D5F02"/>
    <w:rsid w:val="006D6339"/>
    <w:rsid w:val="006D6D3A"/>
    <w:rsid w:val="006D6FED"/>
    <w:rsid w:val="006D7654"/>
    <w:rsid w:val="006D78B5"/>
    <w:rsid w:val="006D7AE0"/>
    <w:rsid w:val="006D7C9C"/>
    <w:rsid w:val="006E02B0"/>
    <w:rsid w:val="006E057B"/>
    <w:rsid w:val="006E0E15"/>
    <w:rsid w:val="006E10FE"/>
    <w:rsid w:val="006E1252"/>
    <w:rsid w:val="006E12AE"/>
    <w:rsid w:val="006E13F4"/>
    <w:rsid w:val="006E1637"/>
    <w:rsid w:val="006E17F0"/>
    <w:rsid w:val="006E1850"/>
    <w:rsid w:val="006E1BB9"/>
    <w:rsid w:val="006E2126"/>
    <w:rsid w:val="006E3540"/>
    <w:rsid w:val="006E3A6C"/>
    <w:rsid w:val="006E3EFB"/>
    <w:rsid w:val="006E4484"/>
    <w:rsid w:val="006E48C1"/>
    <w:rsid w:val="006E4928"/>
    <w:rsid w:val="006E5235"/>
    <w:rsid w:val="006E52E2"/>
    <w:rsid w:val="006E5364"/>
    <w:rsid w:val="006E553D"/>
    <w:rsid w:val="006E580B"/>
    <w:rsid w:val="006E5A10"/>
    <w:rsid w:val="006E5A7B"/>
    <w:rsid w:val="006E5C89"/>
    <w:rsid w:val="006E5EC4"/>
    <w:rsid w:val="006E719E"/>
    <w:rsid w:val="006E7495"/>
    <w:rsid w:val="006E79F3"/>
    <w:rsid w:val="006F0624"/>
    <w:rsid w:val="006F0B89"/>
    <w:rsid w:val="006F107D"/>
    <w:rsid w:val="006F193C"/>
    <w:rsid w:val="006F23AF"/>
    <w:rsid w:val="006F2936"/>
    <w:rsid w:val="006F297D"/>
    <w:rsid w:val="006F2B15"/>
    <w:rsid w:val="006F2F66"/>
    <w:rsid w:val="006F3457"/>
    <w:rsid w:val="006F37FE"/>
    <w:rsid w:val="006F3CBE"/>
    <w:rsid w:val="006F3FE7"/>
    <w:rsid w:val="006F4108"/>
    <w:rsid w:val="006F5DCA"/>
    <w:rsid w:val="006F6048"/>
    <w:rsid w:val="006F632E"/>
    <w:rsid w:val="006F65AC"/>
    <w:rsid w:val="006F7BC1"/>
    <w:rsid w:val="00700877"/>
    <w:rsid w:val="00700DB9"/>
    <w:rsid w:val="00700DD9"/>
    <w:rsid w:val="00701523"/>
    <w:rsid w:val="00701529"/>
    <w:rsid w:val="007020E5"/>
    <w:rsid w:val="0070246E"/>
    <w:rsid w:val="007026D3"/>
    <w:rsid w:val="007028FB"/>
    <w:rsid w:val="007030A8"/>
    <w:rsid w:val="00703321"/>
    <w:rsid w:val="007035B0"/>
    <w:rsid w:val="0070379F"/>
    <w:rsid w:val="00703D68"/>
    <w:rsid w:val="0070441A"/>
    <w:rsid w:val="007044ED"/>
    <w:rsid w:val="007049B5"/>
    <w:rsid w:val="00704CB0"/>
    <w:rsid w:val="0070542B"/>
    <w:rsid w:val="00705B87"/>
    <w:rsid w:val="00706DCC"/>
    <w:rsid w:val="00707834"/>
    <w:rsid w:val="00707FE9"/>
    <w:rsid w:val="007102C4"/>
    <w:rsid w:val="00710AE0"/>
    <w:rsid w:val="00711336"/>
    <w:rsid w:val="00712163"/>
    <w:rsid w:val="00712DE4"/>
    <w:rsid w:val="00713691"/>
    <w:rsid w:val="00713DF5"/>
    <w:rsid w:val="00713ECC"/>
    <w:rsid w:val="00714880"/>
    <w:rsid w:val="00714F03"/>
    <w:rsid w:val="00715098"/>
    <w:rsid w:val="007158B8"/>
    <w:rsid w:val="00715ADC"/>
    <w:rsid w:val="007160E1"/>
    <w:rsid w:val="007161B1"/>
    <w:rsid w:val="0071622E"/>
    <w:rsid w:val="007162F2"/>
    <w:rsid w:val="007168B5"/>
    <w:rsid w:val="00716FD2"/>
    <w:rsid w:val="00717127"/>
    <w:rsid w:val="0071714A"/>
    <w:rsid w:val="0071742B"/>
    <w:rsid w:val="00717465"/>
    <w:rsid w:val="007176BC"/>
    <w:rsid w:val="00720E1A"/>
    <w:rsid w:val="00721C82"/>
    <w:rsid w:val="007225A3"/>
    <w:rsid w:val="00722E63"/>
    <w:rsid w:val="007231C5"/>
    <w:rsid w:val="00723472"/>
    <w:rsid w:val="00723496"/>
    <w:rsid w:val="007235A5"/>
    <w:rsid w:val="007236F7"/>
    <w:rsid w:val="007243F5"/>
    <w:rsid w:val="00724542"/>
    <w:rsid w:val="00725967"/>
    <w:rsid w:val="007261FF"/>
    <w:rsid w:val="007264F0"/>
    <w:rsid w:val="00726BA4"/>
    <w:rsid w:val="00726CAD"/>
    <w:rsid w:val="00727826"/>
    <w:rsid w:val="00730324"/>
    <w:rsid w:val="007303F1"/>
    <w:rsid w:val="007309C7"/>
    <w:rsid w:val="00730D4F"/>
    <w:rsid w:val="00730FC2"/>
    <w:rsid w:val="00730FEF"/>
    <w:rsid w:val="007310DF"/>
    <w:rsid w:val="00731B28"/>
    <w:rsid w:val="00731C50"/>
    <w:rsid w:val="00731EC2"/>
    <w:rsid w:val="00731F2E"/>
    <w:rsid w:val="00731FD8"/>
    <w:rsid w:val="00732215"/>
    <w:rsid w:val="00732291"/>
    <w:rsid w:val="00732665"/>
    <w:rsid w:val="00732C50"/>
    <w:rsid w:val="00732FE3"/>
    <w:rsid w:val="0073318A"/>
    <w:rsid w:val="00733429"/>
    <w:rsid w:val="00734931"/>
    <w:rsid w:val="007350DA"/>
    <w:rsid w:val="0073543B"/>
    <w:rsid w:val="007359AC"/>
    <w:rsid w:val="007361AA"/>
    <w:rsid w:val="007363CF"/>
    <w:rsid w:val="007367E0"/>
    <w:rsid w:val="007369C6"/>
    <w:rsid w:val="00736EF7"/>
    <w:rsid w:val="00736F88"/>
    <w:rsid w:val="007374E3"/>
    <w:rsid w:val="007377F9"/>
    <w:rsid w:val="0073799B"/>
    <w:rsid w:val="00737CE1"/>
    <w:rsid w:val="007401A5"/>
    <w:rsid w:val="00740BBB"/>
    <w:rsid w:val="00740F34"/>
    <w:rsid w:val="0074108B"/>
    <w:rsid w:val="00741831"/>
    <w:rsid w:val="00741C12"/>
    <w:rsid w:val="00741E8B"/>
    <w:rsid w:val="0074249C"/>
    <w:rsid w:val="0074297A"/>
    <w:rsid w:val="0074340C"/>
    <w:rsid w:val="00743AD8"/>
    <w:rsid w:val="00743B14"/>
    <w:rsid w:val="00744416"/>
    <w:rsid w:val="00744689"/>
    <w:rsid w:val="00744841"/>
    <w:rsid w:val="00745204"/>
    <w:rsid w:val="0074660B"/>
    <w:rsid w:val="00746696"/>
    <w:rsid w:val="007468C0"/>
    <w:rsid w:val="0074696C"/>
    <w:rsid w:val="00746FF9"/>
    <w:rsid w:val="007476F7"/>
    <w:rsid w:val="00750C26"/>
    <w:rsid w:val="00750C41"/>
    <w:rsid w:val="007511BE"/>
    <w:rsid w:val="00751494"/>
    <w:rsid w:val="0075155F"/>
    <w:rsid w:val="007516F5"/>
    <w:rsid w:val="00751BB3"/>
    <w:rsid w:val="00751FF3"/>
    <w:rsid w:val="007524FB"/>
    <w:rsid w:val="00752C2A"/>
    <w:rsid w:val="00752E6F"/>
    <w:rsid w:val="0075328E"/>
    <w:rsid w:val="0075339A"/>
    <w:rsid w:val="0075393B"/>
    <w:rsid w:val="007539C6"/>
    <w:rsid w:val="00753BC8"/>
    <w:rsid w:val="00755080"/>
    <w:rsid w:val="007553A5"/>
    <w:rsid w:val="00755799"/>
    <w:rsid w:val="00755975"/>
    <w:rsid w:val="00755D5C"/>
    <w:rsid w:val="00755F7A"/>
    <w:rsid w:val="00756C49"/>
    <w:rsid w:val="00757132"/>
    <w:rsid w:val="007573EF"/>
    <w:rsid w:val="007574DF"/>
    <w:rsid w:val="00757770"/>
    <w:rsid w:val="00757DF5"/>
    <w:rsid w:val="00757E50"/>
    <w:rsid w:val="007600D9"/>
    <w:rsid w:val="00760441"/>
    <w:rsid w:val="00760516"/>
    <w:rsid w:val="007609F1"/>
    <w:rsid w:val="00760DE8"/>
    <w:rsid w:val="00761570"/>
    <w:rsid w:val="007615ED"/>
    <w:rsid w:val="007618CE"/>
    <w:rsid w:val="00761E34"/>
    <w:rsid w:val="00761EAD"/>
    <w:rsid w:val="00761F2F"/>
    <w:rsid w:val="00762385"/>
    <w:rsid w:val="0076280C"/>
    <w:rsid w:val="0076320B"/>
    <w:rsid w:val="007635B6"/>
    <w:rsid w:val="00763660"/>
    <w:rsid w:val="007639EE"/>
    <w:rsid w:val="007641EE"/>
    <w:rsid w:val="00764493"/>
    <w:rsid w:val="00764D5E"/>
    <w:rsid w:val="0076641D"/>
    <w:rsid w:val="00766D1A"/>
    <w:rsid w:val="00766F55"/>
    <w:rsid w:val="00766FC7"/>
    <w:rsid w:val="00767226"/>
    <w:rsid w:val="00767348"/>
    <w:rsid w:val="007676FA"/>
    <w:rsid w:val="007676FD"/>
    <w:rsid w:val="0076782B"/>
    <w:rsid w:val="00767A87"/>
    <w:rsid w:val="007702B7"/>
    <w:rsid w:val="0077063D"/>
    <w:rsid w:val="007708B9"/>
    <w:rsid w:val="00770BCD"/>
    <w:rsid w:val="00770C0C"/>
    <w:rsid w:val="00770FF3"/>
    <w:rsid w:val="00771026"/>
    <w:rsid w:val="00771506"/>
    <w:rsid w:val="0077185E"/>
    <w:rsid w:val="007723A4"/>
    <w:rsid w:val="007729EC"/>
    <w:rsid w:val="00772AE4"/>
    <w:rsid w:val="00772E35"/>
    <w:rsid w:val="00773F4D"/>
    <w:rsid w:val="00773FFF"/>
    <w:rsid w:val="00774024"/>
    <w:rsid w:val="00774611"/>
    <w:rsid w:val="00774B3E"/>
    <w:rsid w:val="00774E6D"/>
    <w:rsid w:val="007757D5"/>
    <w:rsid w:val="00775A5C"/>
    <w:rsid w:val="00775E6F"/>
    <w:rsid w:val="00775FFC"/>
    <w:rsid w:val="00776460"/>
    <w:rsid w:val="00777109"/>
    <w:rsid w:val="007774B1"/>
    <w:rsid w:val="00777EA6"/>
    <w:rsid w:val="00777F35"/>
    <w:rsid w:val="0078088E"/>
    <w:rsid w:val="00780EC0"/>
    <w:rsid w:val="00780FCE"/>
    <w:rsid w:val="007810E5"/>
    <w:rsid w:val="00781101"/>
    <w:rsid w:val="00781142"/>
    <w:rsid w:val="007816BB"/>
    <w:rsid w:val="00781BA3"/>
    <w:rsid w:val="00782160"/>
    <w:rsid w:val="00782782"/>
    <w:rsid w:val="00782C9E"/>
    <w:rsid w:val="007837E3"/>
    <w:rsid w:val="0078432A"/>
    <w:rsid w:val="00784893"/>
    <w:rsid w:val="007849C7"/>
    <w:rsid w:val="00784B69"/>
    <w:rsid w:val="00785687"/>
    <w:rsid w:val="00785E33"/>
    <w:rsid w:val="00786012"/>
    <w:rsid w:val="00786351"/>
    <w:rsid w:val="00786844"/>
    <w:rsid w:val="007870AD"/>
    <w:rsid w:val="007878C9"/>
    <w:rsid w:val="007879F1"/>
    <w:rsid w:val="00787B4D"/>
    <w:rsid w:val="00790299"/>
    <w:rsid w:val="0079063F"/>
    <w:rsid w:val="007906AE"/>
    <w:rsid w:val="00790A2E"/>
    <w:rsid w:val="00790AE6"/>
    <w:rsid w:val="00790B6D"/>
    <w:rsid w:val="00790F4E"/>
    <w:rsid w:val="00791307"/>
    <w:rsid w:val="00791646"/>
    <w:rsid w:val="007919AD"/>
    <w:rsid w:val="00792466"/>
    <w:rsid w:val="00792546"/>
    <w:rsid w:val="007937FB"/>
    <w:rsid w:val="00793A20"/>
    <w:rsid w:val="00793D55"/>
    <w:rsid w:val="0079418A"/>
    <w:rsid w:val="0079573C"/>
    <w:rsid w:val="0079610A"/>
    <w:rsid w:val="00796844"/>
    <w:rsid w:val="00796B4E"/>
    <w:rsid w:val="00796C33"/>
    <w:rsid w:val="007970A4"/>
    <w:rsid w:val="007976D2"/>
    <w:rsid w:val="00797CE4"/>
    <w:rsid w:val="00797F1F"/>
    <w:rsid w:val="00797FA2"/>
    <w:rsid w:val="007A23B8"/>
    <w:rsid w:val="007A2A7F"/>
    <w:rsid w:val="007A3688"/>
    <w:rsid w:val="007A3738"/>
    <w:rsid w:val="007A38CC"/>
    <w:rsid w:val="007A3D06"/>
    <w:rsid w:val="007A3D08"/>
    <w:rsid w:val="007A424B"/>
    <w:rsid w:val="007A4BE6"/>
    <w:rsid w:val="007A54EC"/>
    <w:rsid w:val="007A58EF"/>
    <w:rsid w:val="007A5C5F"/>
    <w:rsid w:val="007A6436"/>
    <w:rsid w:val="007A64C2"/>
    <w:rsid w:val="007A65AB"/>
    <w:rsid w:val="007A6956"/>
    <w:rsid w:val="007A72FF"/>
    <w:rsid w:val="007A7351"/>
    <w:rsid w:val="007A7846"/>
    <w:rsid w:val="007A7C30"/>
    <w:rsid w:val="007A7D1B"/>
    <w:rsid w:val="007A7E3E"/>
    <w:rsid w:val="007B007B"/>
    <w:rsid w:val="007B08C1"/>
    <w:rsid w:val="007B0FC1"/>
    <w:rsid w:val="007B1B6A"/>
    <w:rsid w:val="007B1F22"/>
    <w:rsid w:val="007B20E6"/>
    <w:rsid w:val="007B26F9"/>
    <w:rsid w:val="007B2962"/>
    <w:rsid w:val="007B2A24"/>
    <w:rsid w:val="007B3066"/>
    <w:rsid w:val="007B3506"/>
    <w:rsid w:val="007B36B2"/>
    <w:rsid w:val="007B376D"/>
    <w:rsid w:val="007B3797"/>
    <w:rsid w:val="007B3A45"/>
    <w:rsid w:val="007B427C"/>
    <w:rsid w:val="007B4483"/>
    <w:rsid w:val="007B4525"/>
    <w:rsid w:val="007B51F4"/>
    <w:rsid w:val="007B5EF3"/>
    <w:rsid w:val="007B5F7F"/>
    <w:rsid w:val="007B5FAB"/>
    <w:rsid w:val="007B6C63"/>
    <w:rsid w:val="007B7146"/>
    <w:rsid w:val="007B7645"/>
    <w:rsid w:val="007B764A"/>
    <w:rsid w:val="007B78FC"/>
    <w:rsid w:val="007C00F2"/>
    <w:rsid w:val="007C02C4"/>
    <w:rsid w:val="007C05F8"/>
    <w:rsid w:val="007C0D24"/>
    <w:rsid w:val="007C1469"/>
    <w:rsid w:val="007C19A8"/>
    <w:rsid w:val="007C1D27"/>
    <w:rsid w:val="007C2529"/>
    <w:rsid w:val="007C267E"/>
    <w:rsid w:val="007C2C91"/>
    <w:rsid w:val="007C3CB5"/>
    <w:rsid w:val="007C40DC"/>
    <w:rsid w:val="007C4C17"/>
    <w:rsid w:val="007C51CC"/>
    <w:rsid w:val="007C51F2"/>
    <w:rsid w:val="007C5BEA"/>
    <w:rsid w:val="007C6AFF"/>
    <w:rsid w:val="007C6B5C"/>
    <w:rsid w:val="007C6FC3"/>
    <w:rsid w:val="007C704C"/>
    <w:rsid w:val="007C76E5"/>
    <w:rsid w:val="007C7CE7"/>
    <w:rsid w:val="007D0600"/>
    <w:rsid w:val="007D0FDB"/>
    <w:rsid w:val="007D12DC"/>
    <w:rsid w:val="007D1522"/>
    <w:rsid w:val="007D1E8C"/>
    <w:rsid w:val="007D2377"/>
    <w:rsid w:val="007D2787"/>
    <w:rsid w:val="007D2C9A"/>
    <w:rsid w:val="007D3215"/>
    <w:rsid w:val="007D38BF"/>
    <w:rsid w:val="007D3AFC"/>
    <w:rsid w:val="007D3BD3"/>
    <w:rsid w:val="007D40B8"/>
    <w:rsid w:val="007D453C"/>
    <w:rsid w:val="007D4FA8"/>
    <w:rsid w:val="007D5BB5"/>
    <w:rsid w:val="007D623D"/>
    <w:rsid w:val="007D65F4"/>
    <w:rsid w:val="007D6981"/>
    <w:rsid w:val="007D6ACC"/>
    <w:rsid w:val="007D6F09"/>
    <w:rsid w:val="007D6F4F"/>
    <w:rsid w:val="007D74B4"/>
    <w:rsid w:val="007D7CA6"/>
    <w:rsid w:val="007E07D2"/>
    <w:rsid w:val="007E0C1F"/>
    <w:rsid w:val="007E0DB2"/>
    <w:rsid w:val="007E0E7F"/>
    <w:rsid w:val="007E0E89"/>
    <w:rsid w:val="007E1CE9"/>
    <w:rsid w:val="007E2087"/>
    <w:rsid w:val="007E29DD"/>
    <w:rsid w:val="007E3894"/>
    <w:rsid w:val="007E3CD5"/>
    <w:rsid w:val="007E4032"/>
    <w:rsid w:val="007E4085"/>
    <w:rsid w:val="007E431C"/>
    <w:rsid w:val="007E4B33"/>
    <w:rsid w:val="007E53EF"/>
    <w:rsid w:val="007E5880"/>
    <w:rsid w:val="007E5907"/>
    <w:rsid w:val="007E5A02"/>
    <w:rsid w:val="007E5D66"/>
    <w:rsid w:val="007E667A"/>
    <w:rsid w:val="007E7089"/>
    <w:rsid w:val="007E7643"/>
    <w:rsid w:val="007F00FA"/>
    <w:rsid w:val="007F016C"/>
    <w:rsid w:val="007F09A6"/>
    <w:rsid w:val="007F1120"/>
    <w:rsid w:val="007F1A4D"/>
    <w:rsid w:val="007F1FFD"/>
    <w:rsid w:val="007F2121"/>
    <w:rsid w:val="007F22FB"/>
    <w:rsid w:val="007F257F"/>
    <w:rsid w:val="007F283E"/>
    <w:rsid w:val="007F2B00"/>
    <w:rsid w:val="007F2DD0"/>
    <w:rsid w:val="007F2F59"/>
    <w:rsid w:val="007F3210"/>
    <w:rsid w:val="007F40EA"/>
    <w:rsid w:val="007F460A"/>
    <w:rsid w:val="007F4AE0"/>
    <w:rsid w:val="007F5151"/>
    <w:rsid w:val="007F5A19"/>
    <w:rsid w:val="007F5EB7"/>
    <w:rsid w:val="007F6071"/>
    <w:rsid w:val="007F6364"/>
    <w:rsid w:val="007F6832"/>
    <w:rsid w:val="007F6BBA"/>
    <w:rsid w:val="007F6FDD"/>
    <w:rsid w:val="007F7443"/>
    <w:rsid w:val="007F79AA"/>
    <w:rsid w:val="007F7A53"/>
    <w:rsid w:val="007F7DCF"/>
    <w:rsid w:val="0080003E"/>
    <w:rsid w:val="0080060E"/>
    <w:rsid w:val="008008C4"/>
    <w:rsid w:val="00800A19"/>
    <w:rsid w:val="00800CBC"/>
    <w:rsid w:val="00800D2F"/>
    <w:rsid w:val="0080150A"/>
    <w:rsid w:val="00802144"/>
    <w:rsid w:val="008026CD"/>
    <w:rsid w:val="00802D8F"/>
    <w:rsid w:val="00803277"/>
    <w:rsid w:val="008038BC"/>
    <w:rsid w:val="00803BB5"/>
    <w:rsid w:val="00804310"/>
    <w:rsid w:val="00804B4D"/>
    <w:rsid w:val="00804B78"/>
    <w:rsid w:val="00804D62"/>
    <w:rsid w:val="00805012"/>
    <w:rsid w:val="0080588D"/>
    <w:rsid w:val="00807033"/>
    <w:rsid w:val="008072B6"/>
    <w:rsid w:val="0080732C"/>
    <w:rsid w:val="00807A32"/>
    <w:rsid w:val="00807AA8"/>
    <w:rsid w:val="00807BF5"/>
    <w:rsid w:val="00810025"/>
    <w:rsid w:val="00810087"/>
    <w:rsid w:val="00810372"/>
    <w:rsid w:val="00810C9C"/>
    <w:rsid w:val="00810D8B"/>
    <w:rsid w:val="008114FE"/>
    <w:rsid w:val="008126FB"/>
    <w:rsid w:val="00812716"/>
    <w:rsid w:val="00812E55"/>
    <w:rsid w:val="00812E81"/>
    <w:rsid w:val="00813727"/>
    <w:rsid w:val="00813AF3"/>
    <w:rsid w:val="00814561"/>
    <w:rsid w:val="0081499C"/>
    <w:rsid w:val="00814A70"/>
    <w:rsid w:val="00814BCE"/>
    <w:rsid w:val="00814C9A"/>
    <w:rsid w:val="00814F01"/>
    <w:rsid w:val="008151BE"/>
    <w:rsid w:val="00815404"/>
    <w:rsid w:val="00815BA7"/>
    <w:rsid w:val="0081638F"/>
    <w:rsid w:val="00816C38"/>
    <w:rsid w:val="00816E7B"/>
    <w:rsid w:val="0081783C"/>
    <w:rsid w:val="008204F7"/>
    <w:rsid w:val="008209D3"/>
    <w:rsid w:val="00820FF1"/>
    <w:rsid w:val="00821104"/>
    <w:rsid w:val="0082144C"/>
    <w:rsid w:val="00821D86"/>
    <w:rsid w:val="00821F99"/>
    <w:rsid w:val="008220B9"/>
    <w:rsid w:val="008224A9"/>
    <w:rsid w:val="00822AF0"/>
    <w:rsid w:val="0082325C"/>
    <w:rsid w:val="00823ABC"/>
    <w:rsid w:val="00823AD4"/>
    <w:rsid w:val="00824073"/>
    <w:rsid w:val="008243E9"/>
    <w:rsid w:val="00824D75"/>
    <w:rsid w:val="00825347"/>
    <w:rsid w:val="00825D54"/>
    <w:rsid w:val="00825F8D"/>
    <w:rsid w:val="00825FDF"/>
    <w:rsid w:val="0082601C"/>
    <w:rsid w:val="00826077"/>
    <w:rsid w:val="008260EA"/>
    <w:rsid w:val="008261CA"/>
    <w:rsid w:val="0082628A"/>
    <w:rsid w:val="00826499"/>
    <w:rsid w:val="00826A5A"/>
    <w:rsid w:val="00827003"/>
    <w:rsid w:val="008273D4"/>
    <w:rsid w:val="00830078"/>
    <w:rsid w:val="00830082"/>
    <w:rsid w:val="008307A6"/>
    <w:rsid w:val="00830E0D"/>
    <w:rsid w:val="00830E85"/>
    <w:rsid w:val="008319D2"/>
    <w:rsid w:val="00831AEB"/>
    <w:rsid w:val="008320DF"/>
    <w:rsid w:val="00832134"/>
    <w:rsid w:val="00832E3B"/>
    <w:rsid w:val="00833FAC"/>
    <w:rsid w:val="0083405D"/>
    <w:rsid w:val="008347E7"/>
    <w:rsid w:val="0083588D"/>
    <w:rsid w:val="0083597F"/>
    <w:rsid w:val="008371AA"/>
    <w:rsid w:val="0083731D"/>
    <w:rsid w:val="00837BFF"/>
    <w:rsid w:val="00840CEE"/>
    <w:rsid w:val="00840CFB"/>
    <w:rsid w:val="008414C4"/>
    <w:rsid w:val="008415B4"/>
    <w:rsid w:val="00841682"/>
    <w:rsid w:val="00841716"/>
    <w:rsid w:val="008417B7"/>
    <w:rsid w:val="00841808"/>
    <w:rsid w:val="008418F8"/>
    <w:rsid w:val="00841C4B"/>
    <w:rsid w:val="00842E30"/>
    <w:rsid w:val="00842ED3"/>
    <w:rsid w:val="00843093"/>
    <w:rsid w:val="00843383"/>
    <w:rsid w:val="008439F5"/>
    <w:rsid w:val="0084421A"/>
    <w:rsid w:val="008442E8"/>
    <w:rsid w:val="008452F7"/>
    <w:rsid w:val="008454D6"/>
    <w:rsid w:val="0084562F"/>
    <w:rsid w:val="00845767"/>
    <w:rsid w:val="00845F7B"/>
    <w:rsid w:val="00845FFB"/>
    <w:rsid w:val="00846193"/>
    <w:rsid w:val="0084620C"/>
    <w:rsid w:val="008464B9"/>
    <w:rsid w:val="008468FD"/>
    <w:rsid w:val="00846EE9"/>
    <w:rsid w:val="00846F4C"/>
    <w:rsid w:val="008470CE"/>
    <w:rsid w:val="00847124"/>
    <w:rsid w:val="00847FEC"/>
    <w:rsid w:val="0085085B"/>
    <w:rsid w:val="008508A2"/>
    <w:rsid w:val="00850C6B"/>
    <w:rsid w:val="0085108E"/>
    <w:rsid w:val="00851637"/>
    <w:rsid w:val="00851772"/>
    <w:rsid w:val="00851D99"/>
    <w:rsid w:val="00851E83"/>
    <w:rsid w:val="00851EFA"/>
    <w:rsid w:val="00852069"/>
    <w:rsid w:val="0085289E"/>
    <w:rsid w:val="00852AAF"/>
    <w:rsid w:val="00852B4C"/>
    <w:rsid w:val="00852C80"/>
    <w:rsid w:val="00854AAD"/>
    <w:rsid w:val="00854FF7"/>
    <w:rsid w:val="00855026"/>
    <w:rsid w:val="008551E4"/>
    <w:rsid w:val="00855536"/>
    <w:rsid w:val="00855927"/>
    <w:rsid w:val="00855B73"/>
    <w:rsid w:val="00855B84"/>
    <w:rsid w:val="00856799"/>
    <w:rsid w:val="0085682D"/>
    <w:rsid w:val="008568B7"/>
    <w:rsid w:val="00856D40"/>
    <w:rsid w:val="0085770A"/>
    <w:rsid w:val="00857A50"/>
    <w:rsid w:val="00857C40"/>
    <w:rsid w:val="00857DD3"/>
    <w:rsid w:val="00860608"/>
    <w:rsid w:val="00860B92"/>
    <w:rsid w:val="00860C22"/>
    <w:rsid w:val="0086160C"/>
    <w:rsid w:val="00861610"/>
    <w:rsid w:val="00861992"/>
    <w:rsid w:val="00861C95"/>
    <w:rsid w:val="00861E2E"/>
    <w:rsid w:val="008628B8"/>
    <w:rsid w:val="0086298D"/>
    <w:rsid w:val="00862F22"/>
    <w:rsid w:val="00863086"/>
    <w:rsid w:val="00863A65"/>
    <w:rsid w:val="00863C16"/>
    <w:rsid w:val="00864629"/>
    <w:rsid w:val="00865441"/>
    <w:rsid w:val="00865F64"/>
    <w:rsid w:val="00866521"/>
    <w:rsid w:val="00866921"/>
    <w:rsid w:val="0086749F"/>
    <w:rsid w:val="00867D81"/>
    <w:rsid w:val="00870B79"/>
    <w:rsid w:val="00871501"/>
    <w:rsid w:val="00871711"/>
    <w:rsid w:val="008725E9"/>
    <w:rsid w:val="0087272C"/>
    <w:rsid w:val="00872970"/>
    <w:rsid w:val="00872AC6"/>
    <w:rsid w:val="00872C9A"/>
    <w:rsid w:val="00872CE3"/>
    <w:rsid w:val="00872DA5"/>
    <w:rsid w:val="00873DED"/>
    <w:rsid w:val="00874214"/>
    <w:rsid w:val="008743B8"/>
    <w:rsid w:val="008748B9"/>
    <w:rsid w:val="00874ADA"/>
    <w:rsid w:val="00874C24"/>
    <w:rsid w:val="00874FB6"/>
    <w:rsid w:val="00875981"/>
    <w:rsid w:val="00875A0B"/>
    <w:rsid w:val="00875E18"/>
    <w:rsid w:val="0087600E"/>
    <w:rsid w:val="00876266"/>
    <w:rsid w:val="008765FF"/>
    <w:rsid w:val="00876E61"/>
    <w:rsid w:val="00877880"/>
    <w:rsid w:val="008778FD"/>
    <w:rsid w:val="00880653"/>
    <w:rsid w:val="00880E6A"/>
    <w:rsid w:val="00881483"/>
    <w:rsid w:val="00881C5C"/>
    <w:rsid w:val="008825E8"/>
    <w:rsid w:val="0088295E"/>
    <w:rsid w:val="0088368D"/>
    <w:rsid w:val="00883C84"/>
    <w:rsid w:val="00884106"/>
    <w:rsid w:val="00884503"/>
    <w:rsid w:val="0088486F"/>
    <w:rsid w:val="00885018"/>
    <w:rsid w:val="0088609B"/>
    <w:rsid w:val="0088636D"/>
    <w:rsid w:val="0088678D"/>
    <w:rsid w:val="00887097"/>
    <w:rsid w:val="0088732F"/>
    <w:rsid w:val="008876A3"/>
    <w:rsid w:val="00887B3A"/>
    <w:rsid w:val="00887EDA"/>
    <w:rsid w:val="00890450"/>
    <w:rsid w:val="00890491"/>
    <w:rsid w:val="00890811"/>
    <w:rsid w:val="008909C4"/>
    <w:rsid w:val="00890D50"/>
    <w:rsid w:val="0089143D"/>
    <w:rsid w:val="0089151D"/>
    <w:rsid w:val="00891853"/>
    <w:rsid w:val="00891BE6"/>
    <w:rsid w:val="00891D67"/>
    <w:rsid w:val="00891F6A"/>
    <w:rsid w:val="008923F0"/>
    <w:rsid w:val="00892582"/>
    <w:rsid w:val="00892770"/>
    <w:rsid w:val="00892931"/>
    <w:rsid w:val="008929D2"/>
    <w:rsid w:val="008937C7"/>
    <w:rsid w:val="00893BF0"/>
    <w:rsid w:val="008941D4"/>
    <w:rsid w:val="008942DE"/>
    <w:rsid w:val="008943C9"/>
    <w:rsid w:val="00894661"/>
    <w:rsid w:val="0089466B"/>
    <w:rsid w:val="00894A0E"/>
    <w:rsid w:val="008951D1"/>
    <w:rsid w:val="00895B0B"/>
    <w:rsid w:val="00895CF4"/>
    <w:rsid w:val="00895EE2"/>
    <w:rsid w:val="0089677A"/>
    <w:rsid w:val="0089754F"/>
    <w:rsid w:val="008A04CD"/>
    <w:rsid w:val="008A0905"/>
    <w:rsid w:val="008A0AEE"/>
    <w:rsid w:val="008A10BE"/>
    <w:rsid w:val="008A1673"/>
    <w:rsid w:val="008A16EF"/>
    <w:rsid w:val="008A1E65"/>
    <w:rsid w:val="008A1FD7"/>
    <w:rsid w:val="008A250D"/>
    <w:rsid w:val="008A2771"/>
    <w:rsid w:val="008A2DAD"/>
    <w:rsid w:val="008A353D"/>
    <w:rsid w:val="008A37CA"/>
    <w:rsid w:val="008A3BDE"/>
    <w:rsid w:val="008A4B19"/>
    <w:rsid w:val="008A4C35"/>
    <w:rsid w:val="008A50C8"/>
    <w:rsid w:val="008A51DB"/>
    <w:rsid w:val="008A52F5"/>
    <w:rsid w:val="008A551D"/>
    <w:rsid w:val="008A5912"/>
    <w:rsid w:val="008A5ADD"/>
    <w:rsid w:val="008A6969"/>
    <w:rsid w:val="008A69BF"/>
    <w:rsid w:val="008A6BB1"/>
    <w:rsid w:val="008A6C4D"/>
    <w:rsid w:val="008A70F6"/>
    <w:rsid w:val="008A743E"/>
    <w:rsid w:val="008A746E"/>
    <w:rsid w:val="008A7670"/>
    <w:rsid w:val="008A79E9"/>
    <w:rsid w:val="008A7F20"/>
    <w:rsid w:val="008B013D"/>
    <w:rsid w:val="008B046C"/>
    <w:rsid w:val="008B0BD8"/>
    <w:rsid w:val="008B0D10"/>
    <w:rsid w:val="008B0F2B"/>
    <w:rsid w:val="008B1642"/>
    <w:rsid w:val="008B16CD"/>
    <w:rsid w:val="008B1DD9"/>
    <w:rsid w:val="008B20CF"/>
    <w:rsid w:val="008B211E"/>
    <w:rsid w:val="008B220E"/>
    <w:rsid w:val="008B2504"/>
    <w:rsid w:val="008B2533"/>
    <w:rsid w:val="008B284D"/>
    <w:rsid w:val="008B2C5F"/>
    <w:rsid w:val="008B3120"/>
    <w:rsid w:val="008B3727"/>
    <w:rsid w:val="008B3D3E"/>
    <w:rsid w:val="008B4815"/>
    <w:rsid w:val="008B4FD3"/>
    <w:rsid w:val="008B543B"/>
    <w:rsid w:val="008B56B8"/>
    <w:rsid w:val="008B57A0"/>
    <w:rsid w:val="008B5840"/>
    <w:rsid w:val="008B6A99"/>
    <w:rsid w:val="008B6D65"/>
    <w:rsid w:val="008B72AB"/>
    <w:rsid w:val="008B7370"/>
    <w:rsid w:val="008B77B1"/>
    <w:rsid w:val="008C02FD"/>
    <w:rsid w:val="008C06A1"/>
    <w:rsid w:val="008C095A"/>
    <w:rsid w:val="008C0FF2"/>
    <w:rsid w:val="008C17C6"/>
    <w:rsid w:val="008C1801"/>
    <w:rsid w:val="008C1AA0"/>
    <w:rsid w:val="008C29A9"/>
    <w:rsid w:val="008C2DA4"/>
    <w:rsid w:val="008C3509"/>
    <w:rsid w:val="008C483D"/>
    <w:rsid w:val="008C4C73"/>
    <w:rsid w:val="008C4EDA"/>
    <w:rsid w:val="008C5238"/>
    <w:rsid w:val="008C52BE"/>
    <w:rsid w:val="008C5979"/>
    <w:rsid w:val="008C5BF8"/>
    <w:rsid w:val="008C60FA"/>
    <w:rsid w:val="008C6397"/>
    <w:rsid w:val="008C6459"/>
    <w:rsid w:val="008C65DD"/>
    <w:rsid w:val="008C6E2E"/>
    <w:rsid w:val="008C6EEF"/>
    <w:rsid w:val="008C71F4"/>
    <w:rsid w:val="008C7A5E"/>
    <w:rsid w:val="008D00EB"/>
    <w:rsid w:val="008D01B5"/>
    <w:rsid w:val="008D0380"/>
    <w:rsid w:val="008D0D2A"/>
    <w:rsid w:val="008D1094"/>
    <w:rsid w:val="008D14CD"/>
    <w:rsid w:val="008D1D55"/>
    <w:rsid w:val="008D1E75"/>
    <w:rsid w:val="008D1F94"/>
    <w:rsid w:val="008D2148"/>
    <w:rsid w:val="008D2326"/>
    <w:rsid w:val="008D2475"/>
    <w:rsid w:val="008D2753"/>
    <w:rsid w:val="008D280A"/>
    <w:rsid w:val="008D301B"/>
    <w:rsid w:val="008D37C7"/>
    <w:rsid w:val="008D38E7"/>
    <w:rsid w:val="008D3F34"/>
    <w:rsid w:val="008D4398"/>
    <w:rsid w:val="008D44FD"/>
    <w:rsid w:val="008D470C"/>
    <w:rsid w:val="008D491E"/>
    <w:rsid w:val="008D4FD4"/>
    <w:rsid w:val="008D54DD"/>
    <w:rsid w:val="008D5835"/>
    <w:rsid w:val="008D595F"/>
    <w:rsid w:val="008D5B85"/>
    <w:rsid w:val="008D6293"/>
    <w:rsid w:val="008D6B64"/>
    <w:rsid w:val="008D6E62"/>
    <w:rsid w:val="008D709D"/>
    <w:rsid w:val="008D7149"/>
    <w:rsid w:val="008D7311"/>
    <w:rsid w:val="008D7C90"/>
    <w:rsid w:val="008E003A"/>
    <w:rsid w:val="008E0861"/>
    <w:rsid w:val="008E1619"/>
    <w:rsid w:val="008E1995"/>
    <w:rsid w:val="008E1E58"/>
    <w:rsid w:val="008E1E9B"/>
    <w:rsid w:val="008E2F0A"/>
    <w:rsid w:val="008E2F71"/>
    <w:rsid w:val="008E30D5"/>
    <w:rsid w:val="008E30EC"/>
    <w:rsid w:val="008E3B14"/>
    <w:rsid w:val="008E408E"/>
    <w:rsid w:val="008E4A4E"/>
    <w:rsid w:val="008E62F7"/>
    <w:rsid w:val="008E6458"/>
    <w:rsid w:val="008E6B16"/>
    <w:rsid w:val="008E72AD"/>
    <w:rsid w:val="008E777E"/>
    <w:rsid w:val="008E7A0D"/>
    <w:rsid w:val="008E7B02"/>
    <w:rsid w:val="008E7C1B"/>
    <w:rsid w:val="008F013A"/>
    <w:rsid w:val="008F05AB"/>
    <w:rsid w:val="008F068B"/>
    <w:rsid w:val="008F0B9B"/>
    <w:rsid w:val="008F1013"/>
    <w:rsid w:val="008F1286"/>
    <w:rsid w:val="008F1849"/>
    <w:rsid w:val="008F2539"/>
    <w:rsid w:val="008F2D3F"/>
    <w:rsid w:val="008F3E26"/>
    <w:rsid w:val="008F4507"/>
    <w:rsid w:val="008F4BE9"/>
    <w:rsid w:val="008F4D40"/>
    <w:rsid w:val="008F5091"/>
    <w:rsid w:val="008F512A"/>
    <w:rsid w:val="008F54A9"/>
    <w:rsid w:val="008F5610"/>
    <w:rsid w:val="008F5778"/>
    <w:rsid w:val="008F58F4"/>
    <w:rsid w:val="008F5A69"/>
    <w:rsid w:val="008F5C9A"/>
    <w:rsid w:val="008F6162"/>
    <w:rsid w:val="008F69EC"/>
    <w:rsid w:val="008F7021"/>
    <w:rsid w:val="008F7332"/>
    <w:rsid w:val="008F7A76"/>
    <w:rsid w:val="008F7E04"/>
    <w:rsid w:val="009001F2"/>
    <w:rsid w:val="0090031F"/>
    <w:rsid w:val="00900B4B"/>
    <w:rsid w:val="009025D5"/>
    <w:rsid w:val="00902BDD"/>
    <w:rsid w:val="00902E76"/>
    <w:rsid w:val="0090306F"/>
    <w:rsid w:val="00903697"/>
    <w:rsid w:val="00903B47"/>
    <w:rsid w:val="00904155"/>
    <w:rsid w:val="00904214"/>
    <w:rsid w:val="009042BB"/>
    <w:rsid w:val="0090485D"/>
    <w:rsid w:val="00904AD2"/>
    <w:rsid w:val="00904EFE"/>
    <w:rsid w:val="009058AC"/>
    <w:rsid w:val="00906298"/>
    <w:rsid w:val="00906737"/>
    <w:rsid w:val="00906C19"/>
    <w:rsid w:val="00907396"/>
    <w:rsid w:val="009075D3"/>
    <w:rsid w:val="00907696"/>
    <w:rsid w:val="0090790C"/>
    <w:rsid w:val="00907ECE"/>
    <w:rsid w:val="0091054A"/>
    <w:rsid w:val="0091065B"/>
    <w:rsid w:val="00910694"/>
    <w:rsid w:val="009108B8"/>
    <w:rsid w:val="00910F89"/>
    <w:rsid w:val="00911965"/>
    <w:rsid w:val="00912434"/>
    <w:rsid w:val="0091298F"/>
    <w:rsid w:val="00912B20"/>
    <w:rsid w:val="009136A8"/>
    <w:rsid w:val="00913A03"/>
    <w:rsid w:val="009147F2"/>
    <w:rsid w:val="00914F7F"/>
    <w:rsid w:val="00915199"/>
    <w:rsid w:val="0091673A"/>
    <w:rsid w:val="00916757"/>
    <w:rsid w:val="009168F0"/>
    <w:rsid w:val="00916A26"/>
    <w:rsid w:val="00916DC8"/>
    <w:rsid w:val="0091761A"/>
    <w:rsid w:val="00917B12"/>
    <w:rsid w:val="0092002A"/>
    <w:rsid w:val="00920A20"/>
    <w:rsid w:val="00921218"/>
    <w:rsid w:val="0092133D"/>
    <w:rsid w:val="009213A5"/>
    <w:rsid w:val="00921617"/>
    <w:rsid w:val="00921681"/>
    <w:rsid w:val="009217DD"/>
    <w:rsid w:val="00921C45"/>
    <w:rsid w:val="00921DDD"/>
    <w:rsid w:val="0092212C"/>
    <w:rsid w:val="00922862"/>
    <w:rsid w:val="00922EA1"/>
    <w:rsid w:val="009232AD"/>
    <w:rsid w:val="009233F0"/>
    <w:rsid w:val="0092349F"/>
    <w:rsid w:val="00923A6B"/>
    <w:rsid w:val="00923E46"/>
    <w:rsid w:val="00924210"/>
    <w:rsid w:val="00924A14"/>
    <w:rsid w:val="00924B6D"/>
    <w:rsid w:val="00925776"/>
    <w:rsid w:val="00926489"/>
    <w:rsid w:val="00926899"/>
    <w:rsid w:val="00926992"/>
    <w:rsid w:val="00926D5E"/>
    <w:rsid w:val="0092766A"/>
    <w:rsid w:val="0092780E"/>
    <w:rsid w:val="00927A0F"/>
    <w:rsid w:val="00927BA0"/>
    <w:rsid w:val="00927C25"/>
    <w:rsid w:val="00927D95"/>
    <w:rsid w:val="0093017F"/>
    <w:rsid w:val="0093024F"/>
    <w:rsid w:val="0093123E"/>
    <w:rsid w:val="00931B19"/>
    <w:rsid w:val="00932299"/>
    <w:rsid w:val="00932A37"/>
    <w:rsid w:val="00932C1A"/>
    <w:rsid w:val="00932CD6"/>
    <w:rsid w:val="0093306F"/>
    <w:rsid w:val="0093325F"/>
    <w:rsid w:val="009333F4"/>
    <w:rsid w:val="00933641"/>
    <w:rsid w:val="009336D8"/>
    <w:rsid w:val="00933F3B"/>
    <w:rsid w:val="0093496A"/>
    <w:rsid w:val="009356AA"/>
    <w:rsid w:val="00935840"/>
    <w:rsid w:val="00935AAE"/>
    <w:rsid w:val="00935E63"/>
    <w:rsid w:val="00936C87"/>
    <w:rsid w:val="00936FC3"/>
    <w:rsid w:val="00937071"/>
    <w:rsid w:val="009373B5"/>
    <w:rsid w:val="0093774B"/>
    <w:rsid w:val="00937C9F"/>
    <w:rsid w:val="0094056E"/>
    <w:rsid w:val="00941326"/>
    <w:rsid w:val="00941C51"/>
    <w:rsid w:val="00941D0E"/>
    <w:rsid w:val="0094212C"/>
    <w:rsid w:val="00942584"/>
    <w:rsid w:val="009429EE"/>
    <w:rsid w:val="00942ECE"/>
    <w:rsid w:val="00943AD5"/>
    <w:rsid w:val="00943DF6"/>
    <w:rsid w:val="00943EA9"/>
    <w:rsid w:val="00943ED2"/>
    <w:rsid w:val="009443E1"/>
    <w:rsid w:val="0094507D"/>
    <w:rsid w:val="009452B2"/>
    <w:rsid w:val="00945A37"/>
    <w:rsid w:val="00946317"/>
    <w:rsid w:val="00946664"/>
    <w:rsid w:val="009479AE"/>
    <w:rsid w:val="00947B32"/>
    <w:rsid w:val="00947E31"/>
    <w:rsid w:val="00947F0B"/>
    <w:rsid w:val="00947FCA"/>
    <w:rsid w:val="009507B4"/>
    <w:rsid w:val="0095086F"/>
    <w:rsid w:val="009509FF"/>
    <w:rsid w:val="00950FE0"/>
    <w:rsid w:val="00951C8C"/>
    <w:rsid w:val="00951D31"/>
    <w:rsid w:val="00952A45"/>
    <w:rsid w:val="00952E47"/>
    <w:rsid w:val="00952EE7"/>
    <w:rsid w:val="00952F93"/>
    <w:rsid w:val="00953849"/>
    <w:rsid w:val="00953905"/>
    <w:rsid w:val="00953E17"/>
    <w:rsid w:val="0095458C"/>
    <w:rsid w:val="00955293"/>
    <w:rsid w:val="00955890"/>
    <w:rsid w:val="00955986"/>
    <w:rsid w:val="00955A78"/>
    <w:rsid w:val="00955A9F"/>
    <w:rsid w:val="00956443"/>
    <w:rsid w:val="00956500"/>
    <w:rsid w:val="0095651C"/>
    <w:rsid w:val="00956DBF"/>
    <w:rsid w:val="00956EFB"/>
    <w:rsid w:val="009572F8"/>
    <w:rsid w:val="0095742C"/>
    <w:rsid w:val="00957568"/>
    <w:rsid w:val="009577C3"/>
    <w:rsid w:val="00957AEC"/>
    <w:rsid w:val="00957C60"/>
    <w:rsid w:val="00961275"/>
    <w:rsid w:val="00961854"/>
    <w:rsid w:val="00961A6D"/>
    <w:rsid w:val="00961D38"/>
    <w:rsid w:val="00963491"/>
    <w:rsid w:val="00963C76"/>
    <w:rsid w:val="00964935"/>
    <w:rsid w:val="00964A51"/>
    <w:rsid w:val="00964EF4"/>
    <w:rsid w:val="0096539B"/>
    <w:rsid w:val="009654EC"/>
    <w:rsid w:val="009663E1"/>
    <w:rsid w:val="009667FC"/>
    <w:rsid w:val="00967114"/>
    <w:rsid w:val="009706A9"/>
    <w:rsid w:val="0097097C"/>
    <w:rsid w:val="00970FB1"/>
    <w:rsid w:val="0097128B"/>
    <w:rsid w:val="00971315"/>
    <w:rsid w:val="009716CB"/>
    <w:rsid w:val="0097212D"/>
    <w:rsid w:val="00972721"/>
    <w:rsid w:val="009727D7"/>
    <w:rsid w:val="009732BC"/>
    <w:rsid w:val="0097339D"/>
    <w:rsid w:val="009736EC"/>
    <w:rsid w:val="00973908"/>
    <w:rsid w:val="00973ADF"/>
    <w:rsid w:val="00973DCB"/>
    <w:rsid w:val="00973FC3"/>
    <w:rsid w:val="0097401D"/>
    <w:rsid w:val="0097478B"/>
    <w:rsid w:val="009749E1"/>
    <w:rsid w:val="00974D09"/>
    <w:rsid w:val="0097568B"/>
    <w:rsid w:val="00975D9F"/>
    <w:rsid w:val="009760AF"/>
    <w:rsid w:val="00976BF1"/>
    <w:rsid w:val="00977EB3"/>
    <w:rsid w:val="00977F7E"/>
    <w:rsid w:val="009801E6"/>
    <w:rsid w:val="009804EC"/>
    <w:rsid w:val="009808F3"/>
    <w:rsid w:val="00980C8E"/>
    <w:rsid w:val="00980C9B"/>
    <w:rsid w:val="00980CDD"/>
    <w:rsid w:val="00981178"/>
    <w:rsid w:val="00981F00"/>
    <w:rsid w:val="00981FC8"/>
    <w:rsid w:val="009821EA"/>
    <w:rsid w:val="009827A7"/>
    <w:rsid w:val="00982D3D"/>
    <w:rsid w:val="00982D72"/>
    <w:rsid w:val="00982D96"/>
    <w:rsid w:val="0098300E"/>
    <w:rsid w:val="009831E0"/>
    <w:rsid w:val="0098341B"/>
    <w:rsid w:val="00983C98"/>
    <w:rsid w:val="00983D63"/>
    <w:rsid w:val="00984713"/>
    <w:rsid w:val="00984722"/>
    <w:rsid w:val="00984AED"/>
    <w:rsid w:val="00984C8C"/>
    <w:rsid w:val="009852EA"/>
    <w:rsid w:val="009854E9"/>
    <w:rsid w:val="0098554D"/>
    <w:rsid w:val="0098555C"/>
    <w:rsid w:val="009856B8"/>
    <w:rsid w:val="009866A9"/>
    <w:rsid w:val="00986717"/>
    <w:rsid w:val="0098696B"/>
    <w:rsid w:val="00986977"/>
    <w:rsid w:val="00986A52"/>
    <w:rsid w:val="00986C2B"/>
    <w:rsid w:val="00986DBC"/>
    <w:rsid w:val="009871E8"/>
    <w:rsid w:val="009872DB"/>
    <w:rsid w:val="0098761A"/>
    <w:rsid w:val="009909F9"/>
    <w:rsid w:val="00990C94"/>
    <w:rsid w:val="00990E4E"/>
    <w:rsid w:val="00990F17"/>
    <w:rsid w:val="009910A7"/>
    <w:rsid w:val="00991129"/>
    <w:rsid w:val="009911EA"/>
    <w:rsid w:val="0099120D"/>
    <w:rsid w:val="00991499"/>
    <w:rsid w:val="009917E4"/>
    <w:rsid w:val="00991A6C"/>
    <w:rsid w:val="00992166"/>
    <w:rsid w:val="00992757"/>
    <w:rsid w:val="0099276F"/>
    <w:rsid w:val="009931A1"/>
    <w:rsid w:val="0099358D"/>
    <w:rsid w:val="00993D6E"/>
    <w:rsid w:val="00993DF7"/>
    <w:rsid w:val="009942CB"/>
    <w:rsid w:val="0099482E"/>
    <w:rsid w:val="0099492F"/>
    <w:rsid w:val="00994A88"/>
    <w:rsid w:val="0099564A"/>
    <w:rsid w:val="00995D1D"/>
    <w:rsid w:val="00995E22"/>
    <w:rsid w:val="00995EF0"/>
    <w:rsid w:val="00995F6F"/>
    <w:rsid w:val="00996660"/>
    <w:rsid w:val="00996725"/>
    <w:rsid w:val="00997018"/>
    <w:rsid w:val="00997492"/>
    <w:rsid w:val="00997D63"/>
    <w:rsid w:val="009A0817"/>
    <w:rsid w:val="009A08F2"/>
    <w:rsid w:val="009A095D"/>
    <w:rsid w:val="009A12F4"/>
    <w:rsid w:val="009A1338"/>
    <w:rsid w:val="009A158C"/>
    <w:rsid w:val="009A1794"/>
    <w:rsid w:val="009A19E3"/>
    <w:rsid w:val="009A19F8"/>
    <w:rsid w:val="009A208E"/>
    <w:rsid w:val="009A2979"/>
    <w:rsid w:val="009A2B0D"/>
    <w:rsid w:val="009A2F87"/>
    <w:rsid w:val="009A379F"/>
    <w:rsid w:val="009A3C16"/>
    <w:rsid w:val="009A3CB0"/>
    <w:rsid w:val="009A3EEE"/>
    <w:rsid w:val="009A40B9"/>
    <w:rsid w:val="009A4579"/>
    <w:rsid w:val="009A496C"/>
    <w:rsid w:val="009A4BAC"/>
    <w:rsid w:val="009A5020"/>
    <w:rsid w:val="009A51A0"/>
    <w:rsid w:val="009A5201"/>
    <w:rsid w:val="009A5570"/>
    <w:rsid w:val="009A5A7E"/>
    <w:rsid w:val="009A63AB"/>
    <w:rsid w:val="009A6654"/>
    <w:rsid w:val="009A68F7"/>
    <w:rsid w:val="009A6DF0"/>
    <w:rsid w:val="009A6E07"/>
    <w:rsid w:val="009A7209"/>
    <w:rsid w:val="009A72E3"/>
    <w:rsid w:val="009A7CF8"/>
    <w:rsid w:val="009B0047"/>
    <w:rsid w:val="009B04E5"/>
    <w:rsid w:val="009B079F"/>
    <w:rsid w:val="009B08B3"/>
    <w:rsid w:val="009B08DE"/>
    <w:rsid w:val="009B0D5C"/>
    <w:rsid w:val="009B0EE3"/>
    <w:rsid w:val="009B0FC7"/>
    <w:rsid w:val="009B102E"/>
    <w:rsid w:val="009B199E"/>
    <w:rsid w:val="009B1A4D"/>
    <w:rsid w:val="009B2059"/>
    <w:rsid w:val="009B297A"/>
    <w:rsid w:val="009B3736"/>
    <w:rsid w:val="009B37F9"/>
    <w:rsid w:val="009B385E"/>
    <w:rsid w:val="009B392B"/>
    <w:rsid w:val="009B4388"/>
    <w:rsid w:val="009B4395"/>
    <w:rsid w:val="009B4AE7"/>
    <w:rsid w:val="009B4B14"/>
    <w:rsid w:val="009B4B45"/>
    <w:rsid w:val="009B4E1D"/>
    <w:rsid w:val="009B55A4"/>
    <w:rsid w:val="009B59AF"/>
    <w:rsid w:val="009B59F4"/>
    <w:rsid w:val="009B5A4C"/>
    <w:rsid w:val="009B61F2"/>
    <w:rsid w:val="009B649B"/>
    <w:rsid w:val="009B65D5"/>
    <w:rsid w:val="009B6820"/>
    <w:rsid w:val="009B699B"/>
    <w:rsid w:val="009B699F"/>
    <w:rsid w:val="009B6A69"/>
    <w:rsid w:val="009B7932"/>
    <w:rsid w:val="009C1048"/>
    <w:rsid w:val="009C14E6"/>
    <w:rsid w:val="009C1767"/>
    <w:rsid w:val="009C1A6B"/>
    <w:rsid w:val="009C1C9E"/>
    <w:rsid w:val="009C2402"/>
    <w:rsid w:val="009C24BB"/>
    <w:rsid w:val="009C3199"/>
    <w:rsid w:val="009C336E"/>
    <w:rsid w:val="009C3C02"/>
    <w:rsid w:val="009C43DE"/>
    <w:rsid w:val="009C45FB"/>
    <w:rsid w:val="009C49BA"/>
    <w:rsid w:val="009C536D"/>
    <w:rsid w:val="009C6489"/>
    <w:rsid w:val="009C6D2A"/>
    <w:rsid w:val="009C6D78"/>
    <w:rsid w:val="009C6DEF"/>
    <w:rsid w:val="009C722E"/>
    <w:rsid w:val="009C75E9"/>
    <w:rsid w:val="009C78A7"/>
    <w:rsid w:val="009C7A6E"/>
    <w:rsid w:val="009C7E5A"/>
    <w:rsid w:val="009C7E8E"/>
    <w:rsid w:val="009D0E58"/>
    <w:rsid w:val="009D1264"/>
    <w:rsid w:val="009D16F4"/>
    <w:rsid w:val="009D1B4A"/>
    <w:rsid w:val="009D1B6C"/>
    <w:rsid w:val="009D3270"/>
    <w:rsid w:val="009D336B"/>
    <w:rsid w:val="009D35A4"/>
    <w:rsid w:val="009D36B0"/>
    <w:rsid w:val="009D391E"/>
    <w:rsid w:val="009D39B8"/>
    <w:rsid w:val="009D3A7D"/>
    <w:rsid w:val="009D3AFD"/>
    <w:rsid w:val="009D3BE8"/>
    <w:rsid w:val="009D3DD7"/>
    <w:rsid w:val="009D3F7A"/>
    <w:rsid w:val="009D53DD"/>
    <w:rsid w:val="009D5A22"/>
    <w:rsid w:val="009D5C3D"/>
    <w:rsid w:val="009D5C81"/>
    <w:rsid w:val="009D6316"/>
    <w:rsid w:val="009D63C7"/>
    <w:rsid w:val="009D64A3"/>
    <w:rsid w:val="009D76BE"/>
    <w:rsid w:val="009D7909"/>
    <w:rsid w:val="009D7BD7"/>
    <w:rsid w:val="009E00C1"/>
    <w:rsid w:val="009E025C"/>
    <w:rsid w:val="009E0492"/>
    <w:rsid w:val="009E090F"/>
    <w:rsid w:val="009E1642"/>
    <w:rsid w:val="009E1C49"/>
    <w:rsid w:val="009E1F7C"/>
    <w:rsid w:val="009E23CD"/>
    <w:rsid w:val="009E24AE"/>
    <w:rsid w:val="009E2835"/>
    <w:rsid w:val="009E2AC7"/>
    <w:rsid w:val="009E2BC1"/>
    <w:rsid w:val="009E347C"/>
    <w:rsid w:val="009E423B"/>
    <w:rsid w:val="009E42CA"/>
    <w:rsid w:val="009E47D8"/>
    <w:rsid w:val="009E5B57"/>
    <w:rsid w:val="009E5F75"/>
    <w:rsid w:val="009E6090"/>
    <w:rsid w:val="009E62E8"/>
    <w:rsid w:val="009E67D5"/>
    <w:rsid w:val="009E69DA"/>
    <w:rsid w:val="009E6CAB"/>
    <w:rsid w:val="009E70E5"/>
    <w:rsid w:val="009E7E22"/>
    <w:rsid w:val="009F1797"/>
    <w:rsid w:val="009F1915"/>
    <w:rsid w:val="009F1992"/>
    <w:rsid w:val="009F2033"/>
    <w:rsid w:val="009F3736"/>
    <w:rsid w:val="009F3D3C"/>
    <w:rsid w:val="009F47DF"/>
    <w:rsid w:val="009F49C6"/>
    <w:rsid w:val="009F4C62"/>
    <w:rsid w:val="009F5253"/>
    <w:rsid w:val="009F57C5"/>
    <w:rsid w:val="009F62C5"/>
    <w:rsid w:val="009F63E9"/>
    <w:rsid w:val="009F6B55"/>
    <w:rsid w:val="009F6C4D"/>
    <w:rsid w:val="009F730D"/>
    <w:rsid w:val="009F73BA"/>
    <w:rsid w:val="009F75FB"/>
    <w:rsid w:val="009F7C8E"/>
    <w:rsid w:val="009F7CB3"/>
    <w:rsid w:val="00A0053F"/>
    <w:rsid w:val="00A0058C"/>
    <w:rsid w:val="00A00746"/>
    <w:rsid w:val="00A014B3"/>
    <w:rsid w:val="00A016A0"/>
    <w:rsid w:val="00A01B1B"/>
    <w:rsid w:val="00A02855"/>
    <w:rsid w:val="00A02978"/>
    <w:rsid w:val="00A02F01"/>
    <w:rsid w:val="00A03149"/>
    <w:rsid w:val="00A03698"/>
    <w:rsid w:val="00A04039"/>
    <w:rsid w:val="00A041B9"/>
    <w:rsid w:val="00A04796"/>
    <w:rsid w:val="00A0581C"/>
    <w:rsid w:val="00A05869"/>
    <w:rsid w:val="00A06ADD"/>
    <w:rsid w:val="00A06C61"/>
    <w:rsid w:val="00A06F8B"/>
    <w:rsid w:val="00A07696"/>
    <w:rsid w:val="00A07AE0"/>
    <w:rsid w:val="00A07C80"/>
    <w:rsid w:val="00A07D5E"/>
    <w:rsid w:val="00A07ED0"/>
    <w:rsid w:val="00A10629"/>
    <w:rsid w:val="00A11044"/>
    <w:rsid w:val="00A11B71"/>
    <w:rsid w:val="00A11F0C"/>
    <w:rsid w:val="00A126C1"/>
    <w:rsid w:val="00A12779"/>
    <w:rsid w:val="00A12B83"/>
    <w:rsid w:val="00A1355E"/>
    <w:rsid w:val="00A13C4C"/>
    <w:rsid w:val="00A14402"/>
    <w:rsid w:val="00A154B8"/>
    <w:rsid w:val="00A15B29"/>
    <w:rsid w:val="00A15B40"/>
    <w:rsid w:val="00A15FEE"/>
    <w:rsid w:val="00A16333"/>
    <w:rsid w:val="00A16435"/>
    <w:rsid w:val="00A16463"/>
    <w:rsid w:val="00A1684F"/>
    <w:rsid w:val="00A16B4D"/>
    <w:rsid w:val="00A16CC2"/>
    <w:rsid w:val="00A16F88"/>
    <w:rsid w:val="00A16FBA"/>
    <w:rsid w:val="00A171C6"/>
    <w:rsid w:val="00A17682"/>
    <w:rsid w:val="00A17A06"/>
    <w:rsid w:val="00A17B20"/>
    <w:rsid w:val="00A17F17"/>
    <w:rsid w:val="00A17FAC"/>
    <w:rsid w:val="00A2175D"/>
    <w:rsid w:val="00A217FD"/>
    <w:rsid w:val="00A22044"/>
    <w:rsid w:val="00A22624"/>
    <w:rsid w:val="00A23BE3"/>
    <w:rsid w:val="00A23F86"/>
    <w:rsid w:val="00A24062"/>
    <w:rsid w:val="00A240FB"/>
    <w:rsid w:val="00A241BE"/>
    <w:rsid w:val="00A247E6"/>
    <w:rsid w:val="00A24804"/>
    <w:rsid w:val="00A251AE"/>
    <w:rsid w:val="00A251B3"/>
    <w:rsid w:val="00A251DA"/>
    <w:rsid w:val="00A258F1"/>
    <w:rsid w:val="00A2592E"/>
    <w:rsid w:val="00A25B1F"/>
    <w:rsid w:val="00A25EA0"/>
    <w:rsid w:val="00A25F3E"/>
    <w:rsid w:val="00A266AA"/>
    <w:rsid w:val="00A2688B"/>
    <w:rsid w:val="00A26B70"/>
    <w:rsid w:val="00A26EDA"/>
    <w:rsid w:val="00A26F72"/>
    <w:rsid w:val="00A271F7"/>
    <w:rsid w:val="00A272B7"/>
    <w:rsid w:val="00A27587"/>
    <w:rsid w:val="00A27727"/>
    <w:rsid w:val="00A27976"/>
    <w:rsid w:val="00A27DB0"/>
    <w:rsid w:val="00A27E7B"/>
    <w:rsid w:val="00A27EFC"/>
    <w:rsid w:val="00A30844"/>
    <w:rsid w:val="00A30892"/>
    <w:rsid w:val="00A30E04"/>
    <w:rsid w:val="00A31144"/>
    <w:rsid w:val="00A31859"/>
    <w:rsid w:val="00A31D42"/>
    <w:rsid w:val="00A321B1"/>
    <w:rsid w:val="00A326A8"/>
    <w:rsid w:val="00A32838"/>
    <w:rsid w:val="00A329A1"/>
    <w:rsid w:val="00A32A72"/>
    <w:rsid w:val="00A32DD4"/>
    <w:rsid w:val="00A33729"/>
    <w:rsid w:val="00A339DE"/>
    <w:rsid w:val="00A33A94"/>
    <w:rsid w:val="00A344D6"/>
    <w:rsid w:val="00A34688"/>
    <w:rsid w:val="00A34CAE"/>
    <w:rsid w:val="00A34E89"/>
    <w:rsid w:val="00A35D2B"/>
    <w:rsid w:val="00A35FFE"/>
    <w:rsid w:val="00A364B7"/>
    <w:rsid w:val="00A36905"/>
    <w:rsid w:val="00A3734C"/>
    <w:rsid w:val="00A37A19"/>
    <w:rsid w:val="00A37A4F"/>
    <w:rsid w:val="00A40097"/>
    <w:rsid w:val="00A40A0F"/>
    <w:rsid w:val="00A414E2"/>
    <w:rsid w:val="00A41630"/>
    <w:rsid w:val="00A41A4E"/>
    <w:rsid w:val="00A4216A"/>
    <w:rsid w:val="00A4247C"/>
    <w:rsid w:val="00A42513"/>
    <w:rsid w:val="00A425A0"/>
    <w:rsid w:val="00A426EA"/>
    <w:rsid w:val="00A42B34"/>
    <w:rsid w:val="00A42B4F"/>
    <w:rsid w:val="00A435F9"/>
    <w:rsid w:val="00A43951"/>
    <w:rsid w:val="00A44227"/>
    <w:rsid w:val="00A44BFA"/>
    <w:rsid w:val="00A452A3"/>
    <w:rsid w:val="00A45433"/>
    <w:rsid w:val="00A4552D"/>
    <w:rsid w:val="00A458E0"/>
    <w:rsid w:val="00A45BA6"/>
    <w:rsid w:val="00A460C9"/>
    <w:rsid w:val="00A46D43"/>
    <w:rsid w:val="00A46E29"/>
    <w:rsid w:val="00A4780E"/>
    <w:rsid w:val="00A479D6"/>
    <w:rsid w:val="00A47A27"/>
    <w:rsid w:val="00A47D77"/>
    <w:rsid w:val="00A51A69"/>
    <w:rsid w:val="00A51AB1"/>
    <w:rsid w:val="00A52002"/>
    <w:rsid w:val="00A5271A"/>
    <w:rsid w:val="00A52887"/>
    <w:rsid w:val="00A529ED"/>
    <w:rsid w:val="00A5301D"/>
    <w:rsid w:val="00A53131"/>
    <w:rsid w:val="00A5338C"/>
    <w:rsid w:val="00A537C0"/>
    <w:rsid w:val="00A54102"/>
    <w:rsid w:val="00A54233"/>
    <w:rsid w:val="00A5496E"/>
    <w:rsid w:val="00A549A8"/>
    <w:rsid w:val="00A54D68"/>
    <w:rsid w:val="00A54D8C"/>
    <w:rsid w:val="00A55215"/>
    <w:rsid w:val="00A553C5"/>
    <w:rsid w:val="00A5548C"/>
    <w:rsid w:val="00A570C1"/>
    <w:rsid w:val="00A5779C"/>
    <w:rsid w:val="00A61083"/>
    <w:rsid w:val="00A61740"/>
    <w:rsid w:val="00A61927"/>
    <w:rsid w:val="00A61D43"/>
    <w:rsid w:val="00A62597"/>
    <w:rsid w:val="00A626AA"/>
    <w:rsid w:val="00A62DD6"/>
    <w:rsid w:val="00A63483"/>
    <w:rsid w:val="00A64056"/>
    <w:rsid w:val="00A650BA"/>
    <w:rsid w:val="00A65174"/>
    <w:rsid w:val="00A65503"/>
    <w:rsid w:val="00A656D1"/>
    <w:rsid w:val="00A659C9"/>
    <w:rsid w:val="00A66B64"/>
    <w:rsid w:val="00A676B0"/>
    <w:rsid w:val="00A67E97"/>
    <w:rsid w:val="00A705BA"/>
    <w:rsid w:val="00A7070E"/>
    <w:rsid w:val="00A7093E"/>
    <w:rsid w:val="00A70E57"/>
    <w:rsid w:val="00A713AB"/>
    <w:rsid w:val="00A71465"/>
    <w:rsid w:val="00A72457"/>
    <w:rsid w:val="00A7392A"/>
    <w:rsid w:val="00A73CAE"/>
    <w:rsid w:val="00A74725"/>
    <w:rsid w:val="00A749F7"/>
    <w:rsid w:val="00A74FC0"/>
    <w:rsid w:val="00A75019"/>
    <w:rsid w:val="00A752D3"/>
    <w:rsid w:val="00A75E8C"/>
    <w:rsid w:val="00A75E9F"/>
    <w:rsid w:val="00A766EC"/>
    <w:rsid w:val="00A77654"/>
    <w:rsid w:val="00A776A6"/>
    <w:rsid w:val="00A77985"/>
    <w:rsid w:val="00A77BF0"/>
    <w:rsid w:val="00A77C75"/>
    <w:rsid w:val="00A8069D"/>
    <w:rsid w:val="00A80A3A"/>
    <w:rsid w:val="00A811DF"/>
    <w:rsid w:val="00A8126C"/>
    <w:rsid w:val="00A812E4"/>
    <w:rsid w:val="00A81F13"/>
    <w:rsid w:val="00A8229D"/>
    <w:rsid w:val="00A82304"/>
    <w:rsid w:val="00A82500"/>
    <w:rsid w:val="00A82513"/>
    <w:rsid w:val="00A82CC9"/>
    <w:rsid w:val="00A82F67"/>
    <w:rsid w:val="00A8306D"/>
    <w:rsid w:val="00A830F2"/>
    <w:rsid w:val="00A831C5"/>
    <w:rsid w:val="00A836A5"/>
    <w:rsid w:val="00A836AB"/>
    <w:rsid w:val="00A83754"/>
    <w:rsid w:val="00A83897"/>
    <w:rsid w:val="00A83926"/>
    <w:rsid w:val="00A83EDE"/>
    <w:rsid w:val="00A84DAB"/>
    <w:rsid w:val="00A8562E"/>
    <w:rsid w:val="00A8576F"/>
    <w:rsid w:val="00A85B91"/>
    <w:rsid w:val="00A85C12"/>
    <w:rsid w:val="00A85C19"/>
    <w:rsid w:val="00A85D61"/>
    <w:rsid w:val="00A86081"/>
    <w:rsid w:val="00A864D1"/>
    <w:rsid w:val="00A867E1"/>
    <w:rsid w:val="00A86EE4"/>
    <w:rsid w:val="00A871E8"/>
    <w:rsid w:val="00A87339"/>
    <w:rsid w:val="00A90433"/>
    <w:rsid w:val="00A906F0"/>
    <w:rsid w:val="00A90CD8"/>
    <w:rsid w:val="00A91067"/>
    <w:rsid w:val="00A9122B"/>
    <w:rsid w:val="00A913B3"/>
    <w:rsid w:val="00A916F1"/>
    <w:rsid w:val="00A91804"/>
    <w:rsid w:val="00A91F80"/>
    <w:rsid w:val="00A92458"/>
    <w:rsid w:val="00A92602"/>
    <w:rsid w:val="00A926F0"/>
    <w:rsid w:val="00A92A56"/>
    <w:rsid w:val="00A93B02"/>
    <w:rsid w:val="00A940DA"/>
    <w:rsid w:val="00A94286"/>
    <w:rsid w:val="00A946F5"/>
    <w:rsid w:val="00A94D04"/>
    <w:rsid w:val="00A95363"/>
    <w:rsid w:val="00A956F9"/>
    <w:rsid w:val="00A95762"/>
    <w:rsid w:val="00A96293"/>
    <w:rsid w:val="00A968D3"/>
    <w:rsid w:val="00A96A07"/>
    <w:rsid w:val="00A96AC4"/>
    <w:rsid w:val="00A96D4B"/>
    <w:rsid w:val="00A96EE3"/>
    <w:rsid w:val="00A971C0"/>
    <w:rsid w:val="00A975CB"/>
    <w:rsid w:val="00A97907"/>
    <w:rsid w:val="00A97BAA"/>
    <w:rsid w:val="00A97C1F"/>
    <w:rsid w:val="00AA02CE"/>
    <w:rsid w:val="00AA0690"/>
    <w:rsid w:val="00AA080E"/>
    <w:rsid w:val="00AA185C"/>
    <w:rsid w:val="00AA21E4"/>
    <w:rsid w:val="00AA267C"/>
    <w:rsid w:val="00AA2F91"/>
    <w:rsid w:val="00AA3015"/>
    <w:rsid w:val="00AA32EB"/>
    <w:rsid w:val="00AA38D6"/>
    <w:rsid w:val="00AA416B"/>
    <w:rsid w:val="00AA455C"/>
    <w:rsid w:val="00AA4A25"/>
    <w:rsid w:val="00AA4FAB"/>
    <w:rsid w:val="00AA5559"/>
    <w:rsid w:val="00AA5EB4"/>
    <w:rsid w:val="00AA6175"/>
    <w:rsid w:val="00AA628A"/>
    <w:rsid w:val="00AA6A57"/>
    <w:rsid w:val="00AA6BEC"/>
    <w:rsid w:val="00AA7360"/>
    <w:rsid w:val="00AA737E"/>
    <w:rsid w:val="00AA7C9A"/>
    <w:rsid w:val="00AA7E0B"/>
    <w:rsid w:val="00AB00EF"/>
    <w:rsid w:val="00AB093B"/>
    <w:rsid w:val="00AB12CA"/>
    <w:rsid w:val="00AB1BBF"/>
    <w:rsid w:val="00AB27FC"/>
    <w:rsid w:val="00AB3675"/>
    <w:rsid w:val="00AB3911"/>
    <w:rsid w:val="00AB3B94"/>
    <w:rsid w:val="00AB3BE7"/>
    <w:rsid w:val="00AB406B"/>
    <w:rsid w:val="00AB4698"/>
    <w:rsid w:val="00AB4A8E"/>
    <w:rsid w:val="00AB4BF5"/>
    <w:rsid w:val="00AB4F64"/>
    <w:rsid w:val="00AB59F7"/>
    <w:rsid w:val="00AB5F90"/>
    <w:rsid w:val="00AB6210"/>
    <w:rsid w:val="00AB695C"/>
    <w:rsid w:val="00AB6B9A"/>
    <w:rsid w:val="00AB78D3"/>
    <w:rsid w:val="00AB79E5"/>
    <w:rsid w:val="00AC0086"/>
    <w:rsid w:val="00AC02D8"/>
    <w:rsid w:val="00AC08B4"/>
    <w:rsid w:val="00AC0DB1"/>
    <w:rsid w:val="00AC1B48"/>
    <w:rsid w:val="00AC1C32"/>
    <w:rsid w:val="00AC2481"/>
    <w:rsid w:val="00AC24A9"/>
    <w:rsid w:val="00AC2511"/>
    <w:rsid w:val="00AC2B17"/>
    <w:rsid w:val="00AC2D95"/>
    <w:rsid w:val="00AC359C"/>
    <w:rsid w:val="00AC36C5"/>
    <w:rsid w:val="00AC3DD0"/>
    <w:rsid w:val="00AC4451"/>
    <w:rsid w:val="00AC451E"/>
    <w:rsid w:val="00AC48CA"/>
    <w:rsid w:val="00AC5081"/>
    <w:rsid w:val="00AC577B"/>
    <w:rsid w:val="00AC6926"/>
    <w:rsid w:val="00AC6996"/>
    <w:rsid w:val="00AC7056"/>
    <w:rsid w:val="00AC760A"/>
    <w:rsid w:val="00AC7EDF"/>
    <w:rsid w:val="00AD010A"/>
    <w:rsid w:val="00AD0169"/>
    <w:rsid w:val="00AD03CB"/>
    <w:rsid w:val="00AD064E"/>
    <w:rsid w:val="00AD079E"/>
    <w:rsid w:val="00AD12AF"/>
    <w:rsid w:val="00AD14B6"/>
    <w:rsid w:val="00AD150C"/>
    <w:rsid w:val="00AD1972"/>
    <w:rsid w:val="00AD1AF1"/>
    <w:rsid w:val="00AD1D78"/>
    <w:rsid w:val="00AD2049"/>
    <w:rsid w:val="00AD323B"/>
    <w:rsid w:val="00AD3506"/>
    <w:rsid w:val="00AD3AA1"/>
    <w:rsid w:val="00AD3ADC"/>
    <w:rsid w:val="00AD3E6D"/>
    <w:rsid w:val="00AD40D0"/>
    <w:rsid w:val="00AD45CE"/>
    <w:rsid w:val="00AD480F"/>
    <w:rsid w:val="00AD4C89"/>
    <w:rsid w:val="00AD522E"/>
    <w:rsid w:val="00AD5D0A"/>
    <w:rsid w:val="00AD5DAD"/>
    <w:rsid w:val="00AD5F8A"/>
    <w:rsid w:val="00AD66FE"/>
    <w:rsid w:val="00AD68F5"/>
    <w:rsid w:val="00AD6A95"/>
    <w:rsid w:val="00AD6BEA"/>
    <w:rsid w:val="00AD6C10"/>
    <w:rsid w:val="00AD7A42"/>
    <w:rsid w:val="00AD7DE4"/>
    <w:rsid w:val="00AD7F05"/>
    <w:rsid w:val="00AE017B"/>
    <w:rsid w:val="00AE0207"/>
    <w:rsid w:val="00AE0B1D"/>
    <w:rsid w:val="00AE14D3"/>
    <w:rsid w:val="00AE1BA6"/>
    <w:rsid w:val="00AE1E9D"/>
    <w:rsid w:val="00AE1EF0"/>
    <w:rsid w:val="00AE24BD"/>
    <w:rsid w:val="00AE29B7"/>
    <w:rsid w:val="00AE2DBD"/>
    <w:rsid w:val="00AE2E5E"/>
    <w:rsid w:val="00AE361C"/>
    <w:rsid w:val="00AE380A"/>
    <w:rsid w:val="00AE4187"/>
    <w:rsid w:val="00AE42AF"/>
    <w:rsid w:val="00AE551B"/>
    <w:rsid w:val="00AE5F59"/>
    <w:rsid w:val="00AE66BC"/>
    <w:rsid w:val="00AE6830"/>
    <w:rsid w:val="00AE6C4B"/>
    <w:rsid w:val="00AE6CDE"/>
    <w:rsid w:val="00AE7421"/>
    <w:rsid w:val="00AE749A"/>
    <w:rsid w:val="00AE755E"/>
    <w:rsid w:val="00AE75DA"/>
    <w:rsid w:val="00AE7DA7"/>
    <w:rsid w:val="00AF0089"/>
    <w:rsid w:val="00AF0325"/>
    <w:rsid w:val="00AF037E"/>
    <w:rsid w:val="00AF0614"/>
    <w:rsid w:val="00AF0713"/>
    <w:rsid w:val="00AF09D2"/>
    <w:rsid w:val="00AF1C7E"/>
    <w:rsid w:val="00AF1F63"/>
    <w:rsid w:val="00AF2245"/>
    <w:rsid w:val="00AF2DC5"/>
    <w:rsid w:val="00AF3628"/>
    <w:rsid w:val="00AF3C05"/>
    <w:rsid w:val="00AF47B7"/>
    <w:rsid w:val="00AF4A5C"/>
    <w:rsid w:val="00AF4ECC"/>
    <w:rsid w:val="00AF55F6"/>
    <w:rsid w:val="00AF6751"/>
    <w:rsid w:val="00AF6B70"/>
    <w:rsid w:val="00AF751D"/>
    <w:rsid w:val="00AF75F4"/>
    <w:rsid w:val="00AF79DE"/>
    <w:rsid w:val="00AF7D51"/>
    <w:rsid w:val="00AF7DEA"/>
    <w:rsid w:val="00AF7F6A"/>
    <w:rsid w:val="00B001E7"/>
    <w:rsid w:val="00B004B9"/>
    <w:rsid w:val="00B00838"/>
    <w:rsid w:val="00B00C3E"/>
    <w:rsid w:val="00B01F0A"/>
    <w:rsid w:val="00B0224F"/>
    <w:rsid w:val="00B0226A"/>
    <w:rsid w:val="00B02275"/>
    <w:rsid w:val="00B024D7"/>
    <w:rsid w:val="00B02606"/>
    <w:rsid w:val="00B02A5C"/>
    <w:rsid w:val="00B03222"/>
    <w:rsid w:val="00B0333C"/>
    <w:rsid w:val="00B0394A"/>
    <w:rsid w:val="00B0441F"/>
    <w:rsid w:val="00B0492E"/>
    <w:rsid w:val="00B04E49"/>
    <w:rsid w:val="00B04E6B"/>
    <w:rsid w:val="00B05482"/>
    <w:rsid w:val="00B055A6"/>
    <w:rsid w:val="00B05886"/>
    <w:rsid w:val="00B05B84"/>
    <w:rsid w:val="00B066C4"/>
    <w:rsid w:val="00B06794"/>
    <w:rsid w:val="00B067B3"/>
    <w:rsid w:val="00B067D1"/>
    <w:rsid w:val="00B068C4"/>
    <w:rsid w:val="00B06A4B"/>
    <w:rsid w:val="00B07031"/>
    <w:rsid w:val="00B07332"/>
    <w:rsid w:val="00B073AA"/>
    <w:rsid w:val="00B07741"/>
    <w:rsid w:val="00B07E0E"/>
    <w:rsid w:val="00B11458"/>
    <w:rsid w:val="00B11927"/>
    <w:rsid w:val="00B11F58"/>
    <w:rsid w:val="00B1254E"/>
    <w:rsid w:val="00B12854"/>
    <w:rsid w:val="00B13388"/>
    <w:rsid w:val="00B136E2"/>
    <w:rsid w:val="00B13AA9"/>
    <w:rsid w:val="00B13C43"/>
    <w:rsid w:val="00B13DB4"/>
    <w:rsid w:val="00B14273"/>
    <w:rsid w:val="00B14BA0"/>
    <w:rsid w:val="00B14BFA"/>
    <w:rsid w:val="00B15173"/>
    <w:rsid w:val="00B15227"/>
    <w:rsid w:val="00B1599C"/>
    <w:rsid w:val="00B1703E"/>
    <w:rsid w:val="00B170DA"/>
    <w:rsid w:val="00B17193"/>
    <w:rsid w:val="00B17DD9"/>
    <w:rsid w:val="00B20303"/>
    <w:rsid w:val="00B2038A"/>
    <w:rsid w:val="00B20771"/>
    <w:rsid w:val="00B20955"/>
    <w:rsid w:val="00B20CAE"/>
    <w:rsid w:val="00B20FA3"/>
    <w:rsid w:val="00B212F5"/>
    <w:rsid w:val="00B21E44"/>
    <w:rsid w:val="00B21EFA"/>
    <w:rsid w:val="00B221AE"/>
    <w:rsid w:val="00B22338"/>
    <w:rsid w:val="00B22765"/>
    <w:rsid w:val="00B22BDE"/>
    <w:rsid w:val="00B22F00"/>
    <w:rsid w:val="00B22FBE"/>
    <w:rsid w:val="00B23444"/>
    <w:rsid w:val="00B237BC"/>
    <w:rsid w:val="00B2389B"/>
    <w:rsid w:val="00B23B5F"/>
    <w:rsid w:val="00B23FE2"/>
    <w:rsid w:val="00B247AF"/>
    <w:rsid w:val="00B24A7F"/>
    <w:rsid w:val="00B259E4"/>
    <w:rsid w:val="00B26314"/>
    <w:rsid w:val="00B2673D"/>
    <w:rsid w:val="00B2687F"/>
    <w:rsid w:val="00B268CF"/>
    <w:rsid w:val="00B269E2"/>
    <w:rsid w:val="00B26D37"/>
    <w:rsid w:val="00B26E7B"/>
    <w:rsid w:val="00B27534"/>
    <w:rsid w:val="00B278D4"/>
    <w:rsid w:val="00B27CD2"/>
    <w:rsid w:val="00B27F68"/>
    <w:rsid w:val="00B301C6"/>
    <w:rsid w:val="00B30585"/>
    <w:rsid w:val="00B30C5A"/>
    <w:rsid w:val="00B30D60"/>
    <w:rsid w:val="00B31268"/>
    <w:rsid w:val="00B31571"/>
    <w:rsid w:val="00B3188C"/>
    <w:rsid w:val="00B32959"/>
    <w:rsid w:val="00B32E3B"/>
    <w:rsid w:val="00B33562"/>
    <w:rsid w:val="00B335ED"/>
    <w:rsid w:val="00B33724"/>
    <w:rsid w:val="00B340FF"/>
    <w:rsid w:val="00B34591"/>
    <w:rsid w:val="00B34600"/>
    <w:rsid w:val="00B34BCC"/>
    <w:rsid w:val="00B34CBE"/>
    <w:rsid w:val="00B350B9"/>
    <w:rsid w:val="00B363DC"/>
    <w:rsid w:val="00B363F7"/>
    <w:rsid w:val="00B36649"/>
    <w:rsid w:val="00B367DC"/>
    <w:rsid w:val="00B36DC4"/>
    <w:rsid w:val="00B36E5D"/>
    <w:rsid w:val="00B36FF2"/>
    <w:rsid w:val="00B370D7"/>
    <w:rsid w:val="00B37740"/>
    <w:rsid w:val="00B37C17"/>
    <w:rsid w:val="00B37DB6"/>
    <w:rsid w:val="00B37F2D"/>
    <w:rsid w:val="00B40607"/>
    <w:rsid w:val="00B40632"/>
    <w:rsid w:val="00B41112"/>
    <w:rsid w:val="00B41A32"/>
    <w:rsid w:val="00B41B33"/>
    <w:rsid w:val="00B42048"/>
    <w:rsid w:val="00B426FA"/>
    <w:rsid w:val="00B43251"/>
    <w:rsid w:val="00B43561"/>
    <w:rsid w:val="00B437C4"/>
    <w:rsid w:val="00B44333"/>
    <w:rsid w:val="00B44455"/>
    <w:rsid w:val="00B4470E"/>
    <w:rsid w:val="00B447A3"/>
    <w:rsid w:val="00B45026"/>
    <w:rsid w:val="00B451B3"/>
    <w:rsid w:val="00B455AC"/>
    <w:rsid w:val="00B45ED0"/>
    <w:rsid w:val="00B462BC"/>
    <w:rsid w:val="00B46562"/>
    <w:rsid w:val="00B468E8"/>
    <w:rsid w:val="00B46968"/>
    <w:rsid w:val="00B46C52"/>
    <w:rsid w:val="00B4791B"/>
    <w:rsid w:val="00B47954"/>
    <w:rsid w:val="00B47AE7"/>
    <w:rsid w:val="00B47C87"/>
    <w:rsid w:val="00B50211"/>
    <w:rsid w:val="00B50384"/>
    <w:rsid w:val="00B50487"/>
    <w:rsid w:val="00B506A1"/>
    <w:rsid w:val="00B5070D"/>
    <w:rsid w:val="00B50B9C"/>
    <w:rsid w:val="00B51765"/>
    <w:rsid w:val="00B519E5"/>
    <w:rsid w:val="00B52B4A"/>
    <w:rsid w:val="00B52FDE"/>
    <w:rsid w:val="00B53592"/>
    <w:rsid w:val="00B53878"/>
    <w:rsid w:val="00B53A5F"/>
    <w:rsid w:val="00B53D24"/>
    <w:rsid w:val="00B557C3"/>
    <w:rsid w:val="00B55B5D"/>
    <w:rsid w:val="00B5628A"/>
    <w:rsid w:val="00B5669F"/>
    <w:rsid w:val="00B56E8D"/>
    <w:rsid w:val="00B575E8"/>
    <w:rsid w:val="00B57AB6"/>
    <w:rsid w:val="00B57FAD"/>
    <w:rsid w:val="00B60226"/>
    <w:rsid w:val="00B6136D"/>
    <w:rsid w:val="00B615D5"/>
    <w:rsid w:val="00B61D00"/>
    <w:rsid w:val="00B62218"/>
    <w:rsid w:val="00B62D74"/>
    <w:rsid w:val="00B631C9"/>
    <w:rsid w:val="00B6329D"/>
    <w:rsid w:val="00B6422A"/>
    <w:rsid w:val="00B648C4"/>
    <w:rsid w:val="00B655F0"/>
    <w:rsid w:val="00B657DD"/>
    <w:rsid w:val="00B65CE1"/>
    <w:rsid w:val="00B6605B"/>
    <w:rsid w:val="00B665AF"/>
    <w:rsid w:val="00B66BC5"/>
    <w:rsid w:val="00B66FC7"/>
    <w:rsid w:val="00B66FEC"/>
    <w:rsid w:val="00B67713"/>
    <w:rsid w:val="00B67BF4"/>
    <w:rsid w:val="00B70C8D"/>
    <w:rsid w:val="00B7145E"/>
    <w:rsid w:val="00B714A3"/>
    <w:rsid w:val="00B71573"/>
    <w:rsid w:val="00B71B35"/>
    <w:rsid w:val="00B7213A"/>
    <w:rsid w:val="00B724E6"/>
    <w:rsid w:val="00B727DA"/>
    <w:rsid w:val="00B72BE2"/>
    <w:rsid w:val="00B72DB3"/>
    <w:rsid w:val="00B72E56"/>
    <w:rsid w:val="00B72F18"/>
    <w:rsid w:val="00B7313F"/>
    <w:rsid w:val="00B73328"/>
    <w:rsid w:val="00B73768"/>
    <w:rsid w:val="00B73776"/>
    <w:rsid w:val="00B73B29"/>
    <w:rsid w:val="00B74392"/>
    <w:rsid w:val="00B743D0"/>
    <w:rsid w:val="00B747DC"/>
    <w:rsid w:val="00B74B0B"/>
    <w:rsid w:val="00B74E6B"/>
    <w:rsid w:val="00B75172"/>
    <w:rsid w:val="00B751FD"/>
    <w:rsid w:val="00B75932"/>
    <w:rsid w:val="00B75BD2"/>
    <w:rsid w:val="00B75E28"/>
    <w:rsid w:val="00B7630E"/>
    <w:rsid w:val="00B76400"/>
    <w:rsid w:val="00B76471"/>
    <w:rsid w:val="00B76BC5"/>
    <w:rsid w:val="00B76EF3"/>
    <w:rsid w:val="00B77033"/>
    <w:rsid w:val="00B77AF0"/>
    <w:rsid w:val="00B77AF9"/>
    <w:rsid w:val="00B807BD"/>
    <w:rsid w:val="00B815A1"/>
    <w:rsid w:val="00B81DC1"/>
    <w:rsid w:val="00B82FDE"/>
    <w:rsid w:val="00B83296"/>
    <w:rsid w:val="00B833BE"/>
    <w:rsid w:val="00B83DBA"/>
    <w:rsid w:val="00B84049"/>
    <w:rsid w:val="00B8418D"/>
    <w:rsid w:val="00B84555"/>
    <w:rsid w:val="00B84AE7"/>
    <w:rsid w:val="00B84B1D"/>
    <w:rsid w:val="00B84CA9"/>
    <w:rsid w:val="00B852F9"/>
    <w:rsid w:val="00B86147"/>
    <w:rsid w:val="00B8694B"/>
    <w:rsid w:val="00B86A95"/>
    <w:rsid w:val="00B87567"/>
    <w:rsid w:val="00B87D52"/>
    <w:rsid w:val="00B903E0"/>
    <w:rsid w:val="00B90636"/>
    <w:rsid w:val="00B9079E"/>
    <w:rsid w:val="00B91944"/>
    <w:rsid w:val="00B919AB"/>
    <w:rsid w:val="00B92160"/>
    <w:rsid w:val="00B923DC"/>
    <w:rsid w:val="00B92725"/>
    <w:rsid w:val="00B9278F"/>
    <w:rsid w:val="00B94365"/>
    <w:rsid w:val="00B9460B"/>
    <w:rsid w:val="00B94DFE"/>
    <w:rsid w:val="00B94EB9"/>
    <w:rsid w:val="00B94FC4"/>
    <w:rsid w:val="00B9512C"/>
    <w:rsid w:val="00B95577"/>
    <w:rsid w:val="00B95976"/>
    <w:rsid w:val="00B95A91"/>
    <w:rsid w:val="00B95EA2"/>
    <w:rsid w:val="00B97185"/>
    <w:rsid w:val="00B97595"/>
    <w:rsid w:val="00B978AE"/>
    <w:rsid w:val="00B97D4A"/>
    <w:rsid w:val="00BA009B"/>
    <w:rsid w:val="00BA056D"/>
    <w:rsid w:val="00BA0CCE"/>
    <w:rsid w:val="00BA124D"/>
    <w:rsid w:val="00BA1383"/>
    <w:rsid w:val="00BA1C74"/>
    <w:rsid w:val="00BA214B"/>
    <w:rsid w:val="00BA2968"/>
    <w:rsid w:val="00BA2C2E"/>
    <w:rsid w:val="00BA2D2B"/>
    <w:rsid w:val="00BA2F5B"/>
    <w:rsid w:val="00BA3572"/>
    <w:rsid w:val="00BA3595"/>
    <w:rsid w:val="00BA389D"/>
    <w:rsid w:val="00BA3DE5"/>
    <w:rsid w:val="00BA411E"/>
    <w:rsid w:val="00BA444B"/>
    <w:rsid w:val="00BA44C8"/>
    <w:rsid w:val="00BA44D1"/>
    <w:rsid w:val="00BA46A5"/>
    <w:rsid w:val="00BA4B68"/>
    <w:rsid w:val="00BA595D"/>
    <w:rsid w:val="00BA5B32"/>
    <w:rsid w:val="00BA669C"/>
    <w:rsid w:val="00BA6880"/>
    <w:rsid w:val="00BA6FBF"/>
    <w:rsid w:val="00BA7319"/>
    <w:rsid w:val="00BA75A4"/>
    <w:rsid w:val="00BB0129"/>
    <w:rsid w:val="00BB05D0"/>
    <w:rsid w:val="00BB05E6"/>
    <w:rsid w:val="00BB065F"/>
    <w:rsid w:val="00BB0A35"/>
    <w:rsid w:val="00BB14A1"/>
    <w:rsid w:val="00BB162F"/>
    <w:rsid w:val="00BB175F"/>
    <w:rsid w:val="00BB212A"/>
    <w:rsid w:val="00BB2341"/>
    <w:rsid w:val="00BB2BE4"/>
    <w:rsid w:val="00BB330E"/>
    <w:rsid w:val="00BB35CF"/>
    <w:rsid w:val="00BB3649"/>
    <w:rsid w:val="00BB3FAB"/>
    <w:rsid w:val="00BB4109"/>
    <w:rsid w:val="00BB4422"/>
    <w:rsid w:val="00BB467A"/>
    <w:rsid w:val="00BB4C11"/>
    <w:rsid w:val="00BB50B3"/>
    <w:rsid w:val="00BB5293"/>
    <w:rsid w:val="00BB55CF"/>
    <w:rsid w:val="00BB5893"/>
    <w:rsid w:val="00BB58A1"/>
    <w:rsid w:val="00BB6187"/>
    <w:rsid w:val="00BB66EA"/>
    <w:rsid w:val="00BB730E"/>
    <w:rsid w:val="00BB7735"/>
    <w:rsid w:val="00BB78BB"/>
    <w:rsid w:val="00BB7D94"/>
    <w:rsid w:val="00BC0003"/>
    <w:rsid w:val="00BC0663"/>
    <w:rsid w:val="00BC0E6A"/>
    <w:rsid w:val="00BC1583"/>
    <w:rsid w:val="00BC1CE2"/>
    <w:rsid w:val="00BC1D91"/>
    <w:rsid w:val="00BC1F32"/>
    <w:rsid w:val="00BC20FA"/>
    <w:rsid w:val="00BC2313"/>
    <w:rsid w:val="00BC39EF"/>
    <w:rsid w:val="00BC3BF5"/>
    <w:rsid w:val="00BC443A"/>
    <w:rsid w:val="00BC4D84"/>
    <w:rsid w:val="00BC4DAC"/>
    <w:rsid w:val="00BC4F57"/>
    <w:rsid w:val="00BC5007"/>
    <w:rsid w:val="00BC514E"/>
    <w:rsid w:val="00BC587C"/>
    <w:rsid w:val="00BC5CC3"/>
    <w:rsid w:val="00BC676A"/>
    <w:rsid w:val="00BC676D"/>
    <w:rsid w:val="00BC685B"/>
    <w:rsid w:val="00BC72E5"/>
    <w:rsid w:val="00BC740E"/>
    <w:rsid w:val="00BC7725"/>
    <w:rsid w:val="00BC7DA0"/>
    <w:rsid w:val="00BD0188"/>
    <w:rsid w:val="00BD0312"/>
    <w:rsid w:val="00BD04C4"/>
    <w:rsid w:val="00BD0831"/>
    <w:rsid w:val="00BD1159"/>
    <w:rsid w:val="00BD1697"/>
    <w:rsid w:val="00BD173C"/>
    <w:rsid w:val="00BD1930"/>
    <w:rsid w:val="00BD2065"/>
    <w:rsid w:val="00BD21E9"/>
    <w:rsid w:val="00BD2205"/>
    <w:rsid w:val="00BD2526"/>
    <w:rsid w:val="00BD2A5F"/>
    <w:rsid w:val="00BD2AEC"/>
    <w:rsid w:val="00BD33F8"/>
    <w:rsid w:val="00BD3446"/>
    <w:rsid w:val="00BD347D"/>
    <w:rsid w:val="00BD397D"/>
    <w:rsid w:val="00BD3986"/>
    <w:rsid w:val="00BD4A3E"/>
    <w:rsid w:val="00BD5BDD"/>
    <w:rsid w:val="00BD6579"/>
    <w:rsid w:val="00BD65FA"/>
    <w:rsid w:val="00BD675F"/>
    <w:rsid w:val="00BD6945"/>
    <w:rsid w:val="00BD71B3"/>
    <w:rsid w:val="00BD7B91"/>
    <w:rsid w:val="00BD7C3E"/>
    <w:rsid w:val="00BE0338"/>
    <w:rsid w:val="00BE15C0"/>
    <w:rsid w:val="00BE1847"/>
    <w:rsid w:val="00BE1A2B"/>
    <w:rsid w:val="00BE297A"/>
    <w:rsid w:val="00BE3999"/>
    <w:rsid w:val="00BE3AFC"/>
    <w:rsid w:val="00BE3BE3"/>
    <w:rsid w:val="00BE4034"/>
    <w:rsid w:val="00BE47D0"/>
    <w:rsid w:val="00BE4A5D"/>
    <w:rsid w:val="00BE4BD0"/>
    <w:rsid w:val="00BE50F9"/>
    <w:rsid w:val="00BE5339"/>
    <w:rsid w:val="00BE55E3"/>
    <w:rsid w:val="00BE5A0B"/>
    <w:rsid w:val="00BE62A7"/>
    <w:rsid w:val="00BE6395"/>
    <w:rsid w:val="00BE656E"/>
    <w:rsid w:val="00BE667F"/>
    <w:rsid w:val="00BE66E2"/>
    <w:rsid w:val="00BE6827"/>
    <w:rsid w:val="00BE6B55"/>
    <w:rsid w:val="00BE7089"/>
    <w:rsid w:val="00BE7118"/>
    <w:rsid w:val="00BE769A"/>
    <w:rsid w:val="00BE7B02"/>
    <w:rsid w:val="00BF0567"/>
    <w:rsid w:val="00BF0869"/>
    <w:rsid w:val="00BF0881"/>
    <w:rsid w:val="00BF0E3D"/>
    <w:rsid w:val="00BF111F"/>
    <w:rsid w:val="00BF34E8"/>
    <w:rsid w:val="00BF3685"/>
    <w:rsid w:val="00BF46C0"/>
    <w:rsid w:val="00BF5F2F"/>
    <w:rsid w:val="00BF5FF4"/>
    <w:rsid w:val="00BF6023"/>
    <w:rsid w:val="00BF636E"/>
    <w:rsid w:val="00BF6AF1"/>
    <w:rsid w:val="00BF6C84"/>
    <w:rsid w:val="00BF6CAF"/>
    <w:rsid w:val="00BF6DC0"/>
    <w:rsid w:val="00BF6E3B"/>
    <w:rsid w:val="00BF77BC"/>
    <w:rsid w:val="00BF7EBE"/>
    <w:rsid w:val="00C00A81"/>
    <w:rsid w:val="00C00CC0"/>
    <w:rsid w:val="00C00F21"/>
    <w:rsid w:val="00C0139A"/>
    <w:rsid w:val="00C01ED2"/>
    <w:rsid w:val="00C02231"/>
    <w:rsid w:val="00C024AE"/>
    <w:rsid w:val="00C02950"/>
    <w:rsid w:val="00C0295A"/>
    <w:rsid w:val="00C03003"/>
    <w:rsid w:val="00C03B2A"/>
    <w:rsid w:val="00C03CF7"/>
    <w:rsid w:val="00C03DB3"/>
    <w:rsid w:val="00C0420D"/>
    <w:rsid w:val="00C04EBD"/>
    <w:rsid w:val="00C06084"/>
    <w:rsid w:val="00C0655C"/>
    <w:rsid w:val="00C06A76"/>
    <w:rsid w:val="00C06ABF"/>
    <w:rsid w:val="00C06DE9"/>
    <w:rsid w:val="00C070F1"/>
    <w:rsid w:val="00C07540"/>
    <w:rsid w:val="00C100AE"/>
    <w:rsid w:val="00C101D6"/>
    <w:rsid w:val="00C1032B"/>
    <w:rsid w:val="00C106C3"/>
    <w:rsid w:val="00C11538"/>
    <w:rsid w:val="00C1257F"/>
    <w:rsid w:val="00C12C21"/>
    <w:rsid w:val="00C133C3"/>
    <w:rsid w:val="00C1348D"/>
    <w:rsid w:val="00C13DD5"/>
    <w:rsid w:val="00C14195"/>
    <w:rsid w:val="00C14AAF"/>
    <w:rsid w:val="00C14E39"/>
    <w:rsid w:val="00C15C53"/>
    <w:rsid w:val="00C168EF"/>
    <w:rsid w:val="00C16BED"/>
    <w:rsid w:val="00C1712B"/>
    <w:rsid w:val="00C173CC"/>
    <w:rsid w:val="00C17A20"/>
    <w:rsid w:val="00C17B67"/>
    <w:rsid w:val="00C200E9"/>
    <w:rsid w:val="00C2052F"/>
    <w:rsid w:val="00C2071D"/>
    <w:rsid w:val="00C20B81"/>
    <w:rsid w:val="00C20D46"/>
    <w:rsid w:val="00C21481"/>
    <w:rsid w:val="00C216F0"/>
    <w:rsid w:val="00C21C71"/>
    <w:rsid w:val="00C222FC"/>
    <w:rsid w:val="00C225DD"/>
    <w:rsid w:val="00C233E3"/>
    <w:rsid w:val="00C23855"/>
    <w:rsid w:val="00C24243"/>
    <w:rsid w:val="00C2453A"/>
    <w:rsid w:val="00C252E8"/>
    <w:rsid w:val="00C253D2"/>
    <w:rsid w:val="00C253E6"/>
    <w:rsid w:val="00C254F3"/>
    <w:rsid w:val="00C256A5"/>
    <w:rsid w:val="00C25855"/>
    <w:rsid w:val="00C25BA5"/>
    <w:rsid w:val="00C25EA8"/>
    <w:rsid w:val="00C263BF"/>
    <w:rsid w:val="00C266A5"/>
    <w:rsid w:val="00C27056"/>
    <w:rsid w:val="00C270A5"/>
    <w:rsid w:val="00C27410"/>
    <w:rsid w:val="00C2767D"/>
    <w:rsid w:val="00C27FC9"/>
    <w:rsid w:val="00C30257"/>
    <w:rsid w:val="00C30560"/>
    <w:rsid w:val="00C30769"/>
    <w:rsid w:val="00C314CB"/>
    <w:rsid w:val="00C3150D"/>
    <w:rsid w:val="00C3151D"/>
    <w:rsid w:val="00C316AD"/>
    <w:rsid w:val="00C31D66"/>
    <w:rsid w:val="00C31E51"/>
    <w:rsid w:val="00C31ED0"/>
    <w:rsid w:val="00C32A73"/>
    <w:rsid w:val="00C32B5D"/>
    <w:rsid w:val="00C336D4"/>
    <w:rsid w:val="00C33848"/>
    <w:rsid w:val="00C341CB"/>
    <w:rsid w:val="00C3449F"/>
    <w:rsid w:val="00C34D75"/>
    <w:rsid w:val="00C3540C"/>
    <w:rsid w:val="00C3544C"/>
    <w:rsid w:val="00C35CEF"/>
    <w:rsid w:val="00C35F24"/>
    <w:rsid w:val="00C367D4"/>
    <w:rsid w:val="00C36C50"/>
    <w:rsid w:val="00C36F14"/>
    <w:rsid w:val="00C370DC"/>
    <w:rsid w:val="00C378F8"/>
    <w:rsid w:val="00C37A45"/>
    <w:rsid w:val="00C4026E"/>
    <w:rsid w:val="00C4055D"/>
    <w:rsid w:val="00C40798"/>
    <w:rsid w:val="00C410F6"/>
    <w:rsid w:val="00C411AD"/>
    <w:rsid w:val="00C411E9"/>
    <w:rsid w:val="00C41A83"/>
    <w:rsid w:val="00C41F01"/>
    <w:rsid w:val="00C42181"/>
    <w:rsid w:val="00C42AA7"/>
    <w:rsid w:val="00C433BB"/>
    <w:rsid w:val="00C4378B"/>
    <w:rsid w:val="00C43A13"/>
    <w:rsid w:val="00C43AFC"/>
    <w:rsid w:val="00C43CB6"/>
    <w:rsid w:val="00C43F32"/>
    <w:rsid w:val="00C450EA"/>
    <w:rsid w:val="00C47A8F"/>
    <w:rsid w:val="00C47D70"/>
    <w:rsid w:val="00C50136"/>
    <w:rsid w:val="00C503CF"/>
    <w:rsid w:val="00C506F0"/>
    <w:rsid w:val="00C50BBD"/>
    <w:rsid w:val="00C50C9C"/>
    <w:rsid w:val="00C50DD8"/>
    <w:rsid w:val="00C50F07"/>
    <w:rsid w:val="00C515A3"/>
    <w:rsid w:val="00C516EF"/>
    <w:rsid w:val="00C51F4E"/>
    <w:rsid w:val="00C5243E"/>
    <w:rsid w:val="00C52CA9"/>
    <w:rsid w:val="00C53DBA"/>
    <w:rsid w:val="00C53EBF"/>
    <w:rsid w:val="00C5429A"/>
    <w:rsid w:val="00C543A1"/>
    <w:rsid w:val="00C5456F"/>
    <w:rsid w:val="00C546A6"/>
    <w:rsid w:val="00C54716"/>
    <w:rsid w:val="00C54C34"/>
    <w:rsid w:val="00C54EA3"/>
    <w:rsid w:val="00C5521F"/>
    <w:rsid w:val="00C55484"/>
    <w:rsid w:val="00C55C58"/>
    <w:rsid w:val="00C55DDE"/>
    <w:rsid w:val="00C560D5"/>
    <w:rsid w:val="00C56212"/>
    <w:rsid w:val="00C568AC"/>
    <w:rsid w:val="00C56C78"/>
    <w:rsid w:val="00C56CA0"/>
    <w:rsid w:val="00C570AC"/>
    <w:rsid w:val="00C57A89"/>
    <w:rsid w:val="00C60A9D"/>
    <w:rsid w:val="00C60D9A"/>
    <w:rsid w:val="00C60E26"/>
    <w:rsid w:val="00C60EC5"/>
    <w:rsid w:val="00C61577"/>
    <w:rsid w:val="00C6170C"/>
    <w:rsid w:val="00C619E0"/>
    <w:rsid w:val="00C61B72"/>
    <w:rsid w:val="00C62244"/>
    <w:rsid w:val="00C6254F"/>
    <w:rsid w:val="00C63855"/>
    <w:rsid w:val="00C638D2"/>
    <w:rsid w:val="00C63A5E"/>
    <w:rsid w:val="00C63F6F"/>
    <w:rsid w:val="00C64735"/>
    <w:rsid w:val="00C64813"/>
    <w:rsid w:val="00C64F0B"/>
    <w:rsid w:val="00C651A9"/>
    <w:rsid w:val="00C6567D"/>
    <w:rsid w:val="00C65A8F"/>
    <w:rsid w:val="00C65E72"/>
    <w:rsid w:val="00C67319"/>
    <w:rsid w:val="00C67520"/>
    <w:rsid w:val="00C67C96"/>
    <w:rsid w:val="00C67E2A"/>
    <w:rsid w:val="00C717A7"/>
    <w:rsid w:val="00C71A7A"/>
    <w:rsid w:val="00C72A41"/>
    <w:rsid w:val="00C72C6C"/>
    <w:rsid w:val="00C7316C"/>
    <w:rsid w:val="00C733B4"/>
    <w:rsid w:val="00C7340D"/>
    <w:rsid w:val="00C7393C"/>
    <w:rsid w:val="00C739DF"/>
    <w:rsid w:val="00C7459F"/>
    <w:rsid w:val="00C74691"/>
    <w:rsid w:val="00C74740"/>
    <w:rsid w:val="00C747A6"/>
    <w:rsid w:val="00C749B5"/>
    <w:rsid w:val="00C74B18"/>
    <w:rsid w:val="00C75588"/>
    <w:rsid w:val="00C763A3"/>
    <w:rsid w:val="00C7698F"/>
    <w:rsid w:val="00C76B15"/>
    <w:rsid w:val="00C76DCF"/>
    <w:rsid w:val="00C772BE"/>
    <w:rsid w:val="00C7746E"/>
    <w:rsid w:val="00C7769C"/>
    <w:rsid w:val="00C8024A"/>
    <w:rsid w:val="00C807FC"/>
    <w:rsid w:val="00C81378"/>
    <w:rsid w:val="00C81710"/>
    <w:rsid w:val="00C81BB5"/>
    <w:rsid w:val="00C8222C"/>
    <w:rsid w:val="00C822CD"/>
    <w:rsid w:val="00C82484"/>
    <w:rsid w:val="00C8281E"/>
    <w:rsid w:val="00C82844"/>
    <w:rsid w:val="00C8303D"/>
    <w:rsid w:val="00C83974"/>
    <w:rsid w:val="00C83A1C"/>
    <w:rsid w:val="00C83B64"/>
    <w:rsid w:val="00C8408C"/>
    <w:rsid w:val="00C8417B"/>
    <w:rsid w:val="00C843FA"/>
    <w:rsid w:val="00C849C8"/>
    <w:rsid w:val="00C84D02"/>
    <w:rsid w:val="00C854A4"/>
    <w:rsid w:val="00C85741"/>
    <w:rsid w:val="00C85766"/>
    <w:rsid w:val="00C85790"/>
    <w:rsid w:val="00C865F2"/>
    <w:rsid w:val="00C874BE"/>
    <w:rsid w:val="00C876DD"/>
    <w:rsid w:val="00C87ECA"/>
    <w:rsid w:val="00C90184"/>
    <w:rsid w:val="00C903A6"/>
    <w:rsid w:val="00C903C4"/>
    <w:rsid w:val="00C90F7E"/>
    <w:rsid w:val="00C9118F"/>
    <w:rsid w:val="00C91389"/>
    <w:rsid w:val="00C91472"/>
    <w:rsid w:val="00C914C4"/>
    <w:rsid w:val="00C9264D"/>
    <w:rsid w:val="00C92C06"/>
    <w:rsid w:val="00C92F97"/>
    <w:rsid w:val="00C9309E"/>
    <w:rsid w:val="00C9314F"/>
    <w:rsid w:val="00C938AB"/>
    <w:rsid w:val="00C938BC"/>
    <w:rsid w:val="00C938E1"/>
    <w:rsid w:val="00C93CB2"/>
    <w:rsid w:val="00C94240"/>
    <w:rsid w:val="00C945A7"/>
    <w:rsid w:val="00C94926"/>
    <w:rsid w:val="00C94C92"/>
    <w:rsid w:val="00C95109"/>
    <w:rsid w:val="00C95417"/>
    <w:rsid w:val="00C96783"/>
    <w:rsid w:val="00C96E65"/>
    <w:rsid w:val="00C97833"/>
    <w:rsid w:val="00C97867"/>
    <w:rsid w:val="00C97D31"/>
    <w:rsid w:val="00CA00E0"/>
    <w:rsid w:val="00CA0174"/>
    <w:rsid w:val="00CA020B"/>
    <w:rsid w:val="00CA10E7"/>
    <w:rsid w:val="00CA196A"/>
    <w:rsid w:val="00CA2347"/>
    <w:rsid w:val="00CA2A5D"/>
    <w:rsid w:val="00CA300C"/>
    <w:rsid w:val="00CA31A1"/>
    <w:rsid w:val="00CA31B1"/>
    <w:rsid w:val="00CA3230"/>
    <w:rsid w:val="00CA324C"/>
    <w:rsid w:val="00CA4516"/>
    <w:rsid w:val="00CA4D88"/>
    <w:rsid w:val="00CA5228"/>
    <w:rsid w:val="00CA52E6"/>
    <w:rsid w:val="00CA530F"/>
    <w:rsid w:val="00CA56D7"/>
    <w:rsid w:val="00CA67A2"/>
    <w:rsid w:val="00CA695D"/>
    <w:rsid w:val="00CA70DE"/>
    <w:rsid w:val="00CA73E1"/>
    <w:rsid w:val="00CA7A03"/>
    <w:rsid w:val="00CA7C2B"/>
    <w:rsid w:val="00CA7C64"/>
    <w:rsid w:val="00CB0532"/>
    <w:rsid w:val="00CB09C7"/>
    <w:rsid w:val="00CB0BF7"/>
    <w:rsid w:val="00CB0EEF"/>
    <w:rsid w:val="00CB0F5D"/>
    <w:rsid w:val="00CB1366"/>
    <w:rsid w:val="00CB1965"/>
    <w:rsid w:val="00CB1CBE"/>
    <w:rsid w:val="00CB1EB7"/>
    <w:rsid w:val="00CB1F7F"/>
    <w:rsid w:val="00CB24CF"/>
    <w:rsid w:val="00CB276C"/>
    <w:rsid w:val="00CB2EA2"/>
    <w:rsid w:val="00CB38BB"/>
    <w:rsid w:val="00CB3974"/>
    <w:rsid w:val="00CB3A86"/>
    <w:rsid w:val="00CB3E6F"/>
    <w:rsid w:val="00CB410D"/>
    <w:rsid w:val="00CB4153"/>
    <w:rsid w:val="00CB439A"/>
    <w:rsid w:val="00CB4563"/>
    <w:rsid w:val="00CB51DB"/>
    <w:rsid w:val="00CB52A9"/>
    <w:rsid w:val="00CB583C"/>
    <w:rsid w:val="00CB6404"/>
    <w:rsid w:val="00CB6A24"/>
    <w:rsid w:val="00CB6F08"/>
    <w:rsid w:val="00CB6FFC"/>
    <w:rsid w:val="00CB7270"/>
    <w:rsid w:val="00CB78DC"/>
    <w:rsid w:val="00CB79C3"/>
    <w:rsid w:val="00CB7F0D"/>
    <w:rsid w:val="00CC0D44"/>
    <w:rsid w:val="00CC0F2E"/>
    <w:rsid w:val="00CC17FF"/>
    <w:rsid w:val="00CC1956"/>
    <w:rsid w:val="00CC1A3F"/>
    <w:rsid w:val="00CC1AC7"/>
    <w:rsid w:val="00CC1BD3"/>
    <w:rsid w:val="00CC214C"/>
    <w:rsid w:val="00CC2500"/>
    <w:rsid w:val="00CC2AF5"/>
    <w:rsid w:val="00CC2B28"/>
    <w:rsid w:val="00CC2F07"/>
    <w:rsid w:val="00CC2F7E"/>
    <w:rsid w:val="00CC2FB0"/>
    <w:rsid w:val="00CC32F2"/>
    <w:rsid w:val="00CC389D"/>
    <w:rsid w:val="00CC3963"/>
    <w:rsid w:val="00CC3FB5"/>
    <w:rsid w:val="00CC5474"/>
    <w:rsid w:val="00CC5EA6"/>
    <w:rsid w:val="00CC6107"/>
    <w:rsid w:val="00CC6264"/>
    <w:rsid w:val="00CC662B"/>
    <w:rsid w:val="00CC6941"/>
    <w:rsid w:val="00CC70CA"/>
    <w:rsid w:val="00CC70FC"/>
    <w:rsid w:val="00CC74E0"/>
    <w:rsid w:val="00CC751F"/>
    <w:rsid w:val="00CC7714"/>
    <w:rsid w:val="00CC7D2F"/>
    <w:rsid w:val="00CD064A"/>
    <w:rsid w:val="00CD0BC9"/>
    <w:rsid w:val="00CD103B"/>
    <w:rsid w:val="00CD2047"/>
    <w:rsid w:val="00CD21C0"/>
    <w:rsid w:val="00CD2310"/>
    <w:rsid w:val="00CD2611"/>
    <w:rsid w:val="00CD26B6"/>
    <w:rsid w:val="00CD363E"/>
    <w:rsid w:val="00CD38BD"/>
    <w:rsid w:val="00CD3A64"/>
    <w:rsid w:val="00CD3D9E"/>
    <w:rsid w:val="00CD4221"/>
    <w:rsid w:val="00CD4390"/>
    <w:rsid w:val="00CD4601"/>
    <w:rsid w:val="00CD496C"/>
    <w:rsid w:val="00CD49CE"/>
    <w:rsid w:val="00CD52DF"/>
    <w:rsid w:val="00CD56B6"/>
    <w:rsid w:val="00CD67B8"/>
    <w:rsid w:val="00CD752F"/>
    <w:rsid w:val="00CD7872"/>
    <w:rsid w:val="00CE0551"/>
    <w:rsid w:val="00CE0602"/>
    <w:rsid w:val="00CE0741"/>
    <w:rsid w:val="00CE0A78"/>
    <w:rsid w:val="00CE118A"/>
    <w:rsid w:val="00CE15D3"/>
    <w:rsid w:val="00CE196B"/>
    <w:rsid w:val="00CE1AEC"/>
    <w:rsid w:val="00CE1AFB"/>
    <w:rsid w:val="00CE21A3"/>
    <w:rsid w:val="00CE2212"/>
    <w:rsid w:val="00CE221E"/>
    <w:rsid w:val="00CE2AC7"/>
    <w:rsid w:val="00CE2ED5"/>
    <w:rsid w:val="00CE3041"/>
    <w:rsid w:val="00CE3285"/>
    <w:rsid w:val="00CE36EC"/>
    <w:rsid w:val="00CE375D"/>
    <w:rsid w:val="00CE39A5"/>
    <w:rsid w:val="00CE3B1D"/>
    <w:rsid w:val="00CE3BC6"/>
    <w:rsid w:val="00CE3E36"/>
    <w:rsid w:val="00CE50E7"/>
    <w:rsid w:val="00CE52A7"/>
    <w:rsid w:val="00CE53E4"/>
    <w:rsid w:val="00CE5450"/>
    <w:rsid w:val="00CE726C"/>
    <w:rsid w:val="00CE76E3"/>
    <w:rsid w:val="00CE7752"/>
    <w:rsid w:val="00CE79FB"/>
    <w:rsid w:val="00CE7D9F"/>
    <w:rsid w:val="00CE7F5E"/>
    <w:rsid w:val="00CF092F"/>
    <w:rsid w:val="00CF0996"/>
    <w:rsid w:val="00CF0999"/>
    <w:rsid w:val="00CF1009"/>
    <w:rsid w:val="00CF164B"/>
    <w:rsid w:val="00CF21B4"/>
    <w:rsid w:val="00CF2238"/>
    <w:rsid w:val="00CF2529"/>
    <w:rsid w:val="00CF2E11"/>
    <w:rsid w:val="00CF3250"/>
    <w:rsid w:val="00CF340C"/>
    <w:rsid w:val="00CF38BD"/>
    <w:rsid w:val="00CF3F8A"/>
    <w:rsid w:val="00CF41F4"/>
    <w:rsid w:val="00CF4532"/>
    <w:rsid w:val="00CF4685"/>
    <w:rsid w:val="00CF486F"/>
    <w:rsid w:val="00CF4B5C"/>
    <w:rsid w:val="00CF5BC6"/>
    <w:rsid w:val="00CF5D20"/>
    <w:rsid w:val="00CF621D"/>
    <w:rsid w:val="00CF6F49"/>
    <w:rsid w:val="00CF71F2"/>
    <w:rsid w:val="00CF744E"/>
    <w:rsid w:val="00CF75CA"/>
    <w:rsid w:val="00CF7846"/>
    <w:rsid w:val="00CF7B66"/>
    <w:rsid w:val="00CF7CC0"/>
    <w:rsid w:val="00D0023C"/>
    <w:rsid w:val="00D00330"/>
    <w:rsid w:val="00D00D08"/>
    <w:rsid w:val="00D013D2"/>
    <w:rsid w:val="00D01701"/>
    <w:rsid w:val="00D01922"/>
    <w:rsid w:val="00D021C6"/>
    <w:rsid w:val="00D025CC"/>
    <w:rsid w:val="00D026B8"/>
    <w:rsid w:val="00D02CC0"/>
    <w:rsid w:val="00D02E9E"/>
    <w:rsid w:val="00D037E1"/>
    <w:rsid w:val="00D03A72"/>
    <w:rsid w:val="00D03B49"/>
    <w:rsid w:val="00D03BD3"/>
    <w:rsid w:val="00D040BB"/>
    <w:rsid w:val="00D047D7"/>
    <w:rsid w:val="00D04AF2"/>
    <w:rsid w:val="00D04DEA"/>
    <w:rsid w:val="00D05251"/>
    <w:rsid w:val="00D052CB"/>
    <w:rsid w:val="00D05672"/>
    <w:rsid w:val="00D05C74"/>
    <w:rsid w:val="00D05DEA"/>
    <w:rsid w:val="00D05F84"/>
    <w:rsid w:val="00D06F56"/>
    <w:rsid w:val="00D0735D"/>
    <w:rsid w:val="00D07AB3"/>
    <w:rsid w:val="00D07FBA"/>
    <w:rsid w:val="00D101B5"/>
    <w:rsid w:val="00D104F3"/>
    <w:rsid w:val="00D105CF"/>
    <w:rsid w:val="00D108F0"/>
    <w:rsid w:val="00D10960"/>
    <w:rsid w:val="00D114D4"/>
    <w:rsid w:val="00D11509"/>
    <w:rsid w:val="00D11826"/>
    <w:rsid w:val="00D11B0D"/>
    <w:rsid w:val="00D11DE2"/>
    <w:rsid w:val="00D1206E"/>
    <w:rsid w:val="00D12801"/>
    <w:rsid w:val="00D12F11"/>
    <w:rsid w:val="00D13197"/>
    <w:rsid w:val="00D1336F"/>
    <w:rsid w:val="00D13421"/>
    <w:rsid w:val="00D13B63"/>
    <w:rsid w:val="00D1402F"/>
    <w:rsid w:val="00D14156"/>
    <w:rsid w:val="00D14646"/>
    <w:rsid w:val="00D14C02"/>
    <w:rsid w:val="00D14CB5"/>
    <w:rsid w:val="00D14FA6"/>
    <w:rsid w:val="00D155EB"/>
    <w:rsid w:val="00D15B36"/>
    <w:rsid w:val="00D15B54"/>
    <w:rsid w:val="00D15DC1"/>
    <w:rsid w:val="00D15F14"/>
    <w:rsid w:val="00D16AA9"/>
    <w:rsid w:val="00D16D22"/>
    <w:rsid w:val="00D171D0"/>
    <w:rsid w:val="00D17347"/>
    <w:rsid w:val="00D176B6"/>
    <w:rsid w:val="00D17F52"/>
    <w:rsid w:val="00D201D0"/>
    <w:rsid w:val="00D20553"/>
    <w:rsid w:val="00D20F93"/>
    <w:rsid w:val="00D21978"/>
    <w:rsid w:val="00D21C97"/>
    <w:rsid w:val="00D22686"/>
    <w:rsid w:val="00D226CF"/>
    <w:rsid w:val="00D22F1C"/>
    <w:rsid w:val="00D230E6"/>
    <w:rsid w:val="00D2319E"/>
    <w:rsid w:val="00D2369A"/>
    <w:rsid w:val="00D23A02"/>
    <w:rsid w:val="00D23EA4"/>
    <w:rsid w:val="00D23FD5"/>
    <w:rsid w:val="00D23FE3"/>
    <w:rsid w:val="00D2430A"/>
    <w:rsid w:val="00D244A8"/>
    <w:rsid w:val="00D24723"/>
    <w:rsid w:val="00D24A2A"/>
    <w:rsid w:val="00D24D57"/>
    <w:rsid w:val="00D259FE"/>
    <w:rsid w:val="00D25E8C"/>
    <w:rsid w:val="00D25EA1"/>
    <w:rsid w:val="00D264D9"/>
    <w:rsid w:val="00D26578"/>
    <w:rsid w:val="00D26680"/>
    <w:rsid w:val="00D26EDD"/>
    <w:rsid w:val="00D2702D"/>
    <w:rsid w:val="00D2739F"/>
    <w:rsid w:val="00D27543"/>
    <w:rsid w:val="00D304CF"/>
    <w:rsid w:val="00D30E83"/>
    <w:rsid w:val="00D31180"/>
    <w:rsid w:val="00D317F9"/>
    <w:rsid w:val="00D31A7A"/>
    <w:rsid w:val="00D31BAA"/>
    <w:rsid w:val="00D31EA1"/>
    <w:rsid w:val="00D31F79"/>
    <w:rsid w:val="00D3210C"/>
    <w:rsid w:val="00D321D8"/>
    <w:rsid w:val="00D323B5"/>
    <w:rsid w:val="00D325DC"/>
    <w:rsid w:val="00D32AA0"/>
    <w:rsid w:val="00D32D40"/>
    <w:rsid w:val="00D33344"/>
    <w:rsid w:val="00D336D4"/>
    <w:rsid w:val="00D33763"/>
    <w:rsid w:val="00D33C35"/>
    <w:rsid w:val="00D33D80"/>
    <w:rsid w:val="00D34458"/>
    <w:rsid w:val="00D345EF"/>
    <w:rsid w:val="00D348BD"/>
    <w:rsid w:val="00D352E7"/>
    <w:rsid w:val="00D354AB"/>
    <w:rsid w:val="00D357DA"/>
    <w:rsid w:val="00D35E60"/>
    <w:rsid w:val="00D3629D"/>
    <w:rsid w:val="00D367FD"/>
    <w:rsid w:val="00D368B2"/>
    <w:rsid w:val="00D369EE"/>
    <w:rsid w:val="00D36D57"/>
    <w:rsid w:val="00D37F87"/>
    <w:rsid w:val="00D40A62"/>
    <w:rsid w:val="00D411B2"/>
    <w:rsid w:val="00D4136C"/>
    <w:rsid w:val="00D413C3"/>
    <w:rsid w:val="00D41722"/>
    <w:rsid w:val="00D4238F"/>
    <w:rsid w:val="00D427A6"/>
    <w:rsid w:val="00D43406"/>
    <w:rsid w:val="00D43E14"/>
    <w:rsid w:val="00D4435A"/>
    <w:rsid w:val="00D44367"/>
    <w:rsid w:val="00D443AC"/>
    <w:rsid w:val="00D449CA"/>
    <w:rsid w:val="00D44AF4"/>
    <w:rsid w:val="00D44B76"/>
    <w:rsid w:val="00D44B87"/>
    <w:rsid w:val="00D44C25"/>
    <w:rsid w:val="00D44F94"/>
    <w:rsid w:val="00D4611B"/>
    <w:rsid w:val="00D46B88"/>
    <w:rsid w:val="00D46F42"/>
    <w:rsid w:val="00D474DD"/>
    <w:rsid w:val="00D477F8"/>
    <w:rsid w:val="00D478A0"/>
    <w:rsid w:val="00D478C4"/>
    <w:rsid w:val="00D47A04"/>
    <w:rsid w:val="00D50597"/>
    <w:rsid w:val="00D50A46"/>
    <w:rsid w:val="00D50F96"/>
    <w:rsid w:val="00D51001"/>
    <w:rsid w:val="00D51DE9"/>
    <w:rsid w:val="00D523CC"/>
    <w:rsid w:val="00D523F2"/>
    <w:rsid w:val="00D52C69"/>
    <w:rsid w:val="00D52F5E"/>
    <w:rsid w:val="00D53514"/>
    <w:rsid w:val="00D5373E"/>
    <w:rsid w:val="00D54180"/>
    <w:rsid w:val="00D544F4"/>
    <w:rsid w:val="00D5553D"/>
    <w:rsid w:val="00D556A3"/>
    <w:rsid w:val="00D55719"/>
    <w:rsid w:val="00D55910"/>
    <w:rsid w:val="00D55A74"/>
    <w:rsid w:val="00D560F4"/>
    <w:rsid w:val="00D56435"/>
    <w:rsid w:val="00D5664D"/>
    <w:rsid w:val="00D566D8"/>
    <w:rsid w:val="00D56810"/>
    <w:rsid w:val="00D56A8E"/>
    <w:rsid w:val="00D56DE6"/>
    <w:rsid w:val="00D56E9A"/>
    <w:rsid w:val="00D5730B"/>
    <w:rsid w:val="00D57466"/>
    <w:rsid w:val="00D57477"/>
    <w:rsid w:val="00D57C0C"/>
    <w:rsid w:val="00D601BB"/>
    <w:rsid w:val="00D60C4A"/>
    <w:rsid w:val="00D60D13"/>
    <w:rsid w:val="00D611A6"/>
    <w:rsid w:val="00D61880"/>
    <w:rsid w:val="00D62B19"/>
    <w:rsid w:val="00D64231"/>
    <w:rsid w:val="00D6428D"/>
    <w:rsid w:val="00D64AE1"/>
    <w:rsid w:val="00D64E42"/>
    <w:rsid w:val="00D6519F"/>
    <w:rsid w:val="00D65360"/>
    <w:rsid w:val="00D6560E"/>
    <w:rsid w:val="00D656C2"/>
    <w:rsid w:val="00D6639B"/>
    <w:rsid w:val="00D66A3D"/>
    <w:rsid w:val="00D66BE0"/>
    <w:rsid w:val="00D673BB"/>
    <w:rsid w:val="00D67462"/>
    <w:rsid w:val="00D6781C"/>
    <w:rsid w:val="00D6788F"/>
    <w:rsid w:val="00D67FCC"/>
    <w:rsid w:val="00D70003"/>
    <w:rsid w:val="00D701CA"/>
    <w:rsid w:val="00D70227"/>
    <w:rsid w:val="00D70DD1"/>
    <w:rsid w:val="00D722BF"/>
    <w:rsid w:val="00D7244C"/>
    <w:rsid w:val="00D72ADE"/>
    <w:rsid w:val="00D72C02"/>
    <w:rsid w:val="00D732F7"/>
    <w:rsid w:val="00D73CF7"/>
    <w:rsid w:val="00D73CFD"/>
    <w:rsid w:val="00D7457B"/>
    <w:rsid w:val="00D7461A"/>
    <w:rsid w:val="00D747A0"/>
    <w:rsid w:val="00D747BB"/>
    <w:rsid w:val="00D75EA9"/>
    <w:rsid w:val="00D76056"/>
    <w:rsid w:val="00D7625C"/>
    <w:rsid w:val="00D76418"/>
    <w:rsid w:val="00D76A2C"/>
    <w:rsid w:val="00D76C15"/>
    <w:rsid w:val="00D7720F"/>
    <w:rsid w:val="00D7772D"/>
    <w:rsid w:val="00D77784"/>
    <w:rsid w:val="00D77AEB"/>
    <w:rsid w:val="00D77C62"/>
    <w:rsid w:val="00D80975"/>
    <w:rsid w:val="00D81375"/>
    <w:rsid w:val="00D813DA"/>
    <w:rsid w:val="00D820C6"/>
    <w:rsid w:val="00D8230E"/>
    <w:rsid w:val="00D8250D"/>
    <w:rsid w:val="00D82760"/>
    <w:rsid w:val="00D82CB0"/>
    <w:rsid w:val="00D838D4"/>
    <w:rsid w:val="00D83AE9"/>
    <w:rsid w:val="00D8435D"/>
    <w:rsid w:val="00D84EFB"/>
    <w:rsid w:val="00D850E5"/>
    <w:rsid w:val="00D85733"/>
    <w:rsid w:val="00D87B97"/>
    <w:rsid w:val="00D87F4A"/>
    <w:rsid w:val="00D900D2"/>
    <w:rsid w:val="00D90A36"/>
    <w:rsid w:val="00D91267"/>
    <w:rsid w:val="00D915B3"/>
    <w:rsid w:val="00D91C16"/>
    <w:rsid w:val="00D927E1"/>
    <w:rsid w:val="00D928FB"/>
    <w:rsid w:val="00D92923"/>
    <w:rsid w:val="00D93117"/>
    <w:rsid w:val="00D934A2"/>
    <w:rsid w:val="00D937F9"/>
    <w:rsid w:val="00D93986"/>
    <w:rsid w:val="00D94D42"/>
    <w:rsid w:val="00D95389"/>
    <w:rsid w:val="00D95B63"/>
    <w:rsid w:val="00D95DEE"/>
    <w:rsid w:val="00D95F2B"/>
    <w:rsid w:val="00D967A2"/>
    <w:rsid w:val="00D96D11"/>
    <w:rsid w:val="00D96E3B"/>
    <w:rsid w:val="00D9708B"/>
    <w:rsid w:val="00D97AAF"/>
    <w:rsid w:val="00DA0226"/>
    <w:rsid w:val="00DA140D"/>
    <w:rsid w:val="00DA1B69"/>
    <w:rsid w:val="00DA1C5B"/>
    <w:rsid w:val="00DA1EE9"/>
    <w:rsid w:val="00DA28CF"/>
    <w:rsid w:val="00DA2ACE"/>
    <w:rsid w:val="00DA34C8"/>
    <w:rsid w:val="00DA35CD"/>
    <w:rsid w:val="00DA3870"/>
    <w:rsid w:val="00DA3935"/>
    <w:rsid w:val="00DA3CDB"/>
    <w:rsid w:val="00DA43AF"/>
    <w:rsid w:val="00DA468E"/>
    <w:rsid w:val="00DA4929"/>
    <w:rsid w:val="00DA4A6B"/>
    <w:rsid w:val="00DA4EEF"/>
    <w:rsid w:val="00DA591B"/>
    <w:rsid w:val="00DA59D0"/>
    <w:rsid w:val="00DA6504"/>
    <w:rsid w:val="00DA74E2"/>
    <w:rsid w:val="00DA75AF"/>
    <w:rsid w:val="00DA765A"/>
    <w:rsid w:val="00DB0028"/>
    <w:rsid w:val="00DB012A"/>
    <w:rsid w:val="00DB0C3E"/>
    <w:rsid w:val="00DB10DC"/>
    <w:rsid w:val="00DB1789"/>
    <w:rsid w:val="00DB1C47"/>
    <w:rsid w:val="00DB1DBB"/>
    <w:rsid w:val="00DB1E91"/>
    <w:rsid w:val="00DB2053"/>
    <w:rsid w:val="00DB20F8"/>
    <w:rsid w:val="00DB22C3"/>
    <w:rsid w:val="00DB26A8"/>
    <w:rsid w:val="00DB2F9A"/>
    <w:rsid w:val="00DB37E0"/>
    <w:rsid w:val="00DB39DB"/>
    <w:rsid w:val="00DB3C97"/>
    <w:rsid w:val="00DB3F86"/>
    <w:rsid w:val="00DB3F9C"/>
    <w:rsid w:val="00DB4A30"/>
    <w:rsid w:val="00DB4E36"/>
    <w:rsid w:val="00DB4F94"/>
    <w:rsid w:val="00DB5699"/>
    <w:rsid w:val="00DB5896"/>
    <w:rsid w:val="00DB5E1D"/>
    <w:rsid w:val="00DB6171"/>
    <w:rsid w:val="00DB6918"/>
    <w:rsid w:val="00DB740B"/>
    <w:rsid w:val="00DB7EBB"/>
    <w:rsid w:val="00DC06F9"/>
    <w:rsid w:val="00DC0B89"/>
    <w:rsid w:val="00DC0C1B"/>
    <w:rsid w:val="00DC0F4F"/>
    <w:rsid w:val="00DC10DC"/>
    <w:rsid w:val="00DC1524"/>
    <w:rsid w:val="00DC180B"/>
    <w:rsid w:val="00DC1FFC"/>
    <w:rsid w:val="00DC21CD"/>
    <w:rsid w:val="00DC2583"/>
    <w:rsid w:val="00DC34C1"/>
    <w:rsid w:val="00DC3D54"/>
    <w:rsid w:val="00DC3DA7"/>
    <w:rsid w:val="00DC3F43"/>
    <w:rsid w:val="00DC3F66"/>
    <w:rsid w:val="00DC4950"/>
    <w:rsid w:val="00DC4CCD"/>
    <w:rsid w:val="00DC6164"/>
    <w:rsid w:val="00DC6824"/>
    <w:rsid w:val="00DC70C0"/>
    <w:rsid w:val="00DC729B"/>
    <w:rsid w:val="00DC77ED"/>
    <w:rsid w:val="00DC7D60"/>
    <w:rsid w:val="00DD0DF3"/>
    <w:rsid w:val="00DD138E"/>
    <w:rsid w:val="00DD13F9"/>
    <w:rsid w:val="00DD1749"/>
    <w:rsid w:val="00DD1FF8"/>
    <w:rsid w:val="00DD24E0"/>
    <w:rsid w:val="00DD2584"/>
    <w:rsid w:val="00DD2654"/>
    <w:rsid w:val="00DD2B8A"/>
    <w:rsid w:val="00DD2F22"/>
    <w:rsid w:val="00DD4AE4"/>
    <w:rsid w:val="00DD5A07"/>
    <w:rsid w:val="00DD5B72"/>
    <w:rsid w:val="00DD5C5E"/>
    <w:rsid w:val="00DD66F0"/>
    <w:rsid w:val="00DD69FE"/>
    <w:rsid w:val="00DD72E8"/>
    <w:rsid w:val="00DD7584"/>
    <w:rsid w:val="00DE009D"/>
    <w:rsid w:val="00DE098F"/>
    <w:rsid w:val="00DE0E55"/>
    <w:rsid w:val="00DE1DCE"/>
    <w:rsid w:val="00DE2225"/>
    <w:rsid w:val="00DE2372"/>
    <w:rsid w:val="00DE243C"/>
    <w:rsid w:val="00DE2463"/>
    <w:rsid w:val="00DE29E2"/>
    <w:rsid w:val="00DE2F65"/>
    <w:rsid w:val="00DE357F"/>
    <w:rsid w:val="00DE3940"/>
    <w:rsid w:val="00DE3A76"/>
    <w:rsid w:val="00DE41FB"/>
    <w:rsid w:val="00DE447D"/>
    <w:rsid w:val="00DE447E"/>
    <w:rsid w:val="00DE4495"/>
    <w:rsid w:val="00DE4D5A"/>
    <w:rsid w:val="00DE4DC8"/>
    <w:rsid w:val="00DE4F63"/>
    <w:rsid w:val="00DE53C2"/>
    <w:rsid w:val="00DE5C6B"/>
    <w:rsid w:val="00DE5D7A"/>
    <w:rsid w:val="00DE5E2D"/>
    <w:rsid w:val="00DE69E8"/>
    <w:rsid w:val="00DE6B34"/>
    <w:rsid w:val="00DE70ED"/>
    <w:rsid w:val="00DE72E4"/>
    <w:rsid w:val="00DE7546"/>
    <w:rsid w:val="00DE791A"/>
    <w:rsid w:val="00DE79D4"/>
    <w:rsid w:val="00DE7C6C"/>
    <w:rsid w:val="00DF0151"/>
    <w:rsid w:val="00DF0336"/>
    <w:rsid w:val="00DF0F3F"/>
    <w:rsid w:val="00DF0FBC"/>
    <w:rsid w:val="00DF10D4"/>
    <w:rsid w:val="00DF16B7"/>
    <w:rsid w:val="00DF1786"/>
    <w:rsid w:val="00DF1C5D"/>
    <w:rsid w:val="00DF1E73"/>
    <w:rsid w:val="00DF29C1"/>
    <w:rsid w:val="00DF308C"/>
    <w:rsid w:val="00DF3178"/>
    <w:rsid w:val="00DF37FE"/>
    <w:rsid w:val="00DF58CD"/>
    <w:rsid w:val="00DF5AB3"/>
    <w:rsid w:val="00DF5D41"/>
    <w:rsid w:val="00DF6C51"/>
    <w:rsid w:val="00DF6FD2"/>
    <w:rsid w:val="00DF77E9"/>
    <w:rsid w:val="00DF7859"/>
    <w:rsid w:val="00DF7CCC"/>
    <w:rsid w:val="00E00706"/>
    <w:rsid w:val="00E00C21"/>
    <w:rsid w:val="00E00FB3"/>
    <w:rsid w:val="00E013EE"/>
    <w:rsid w:val="00E01860"/>
    <w:rsid w:val="00E019F5"/>
    <w:rsid w:val="00E02A5B"/>
    <w:rsid w:val="00E02AE0"/>
    <w:rsid w:val="00E02B07"/>
    <w:rsid w:val="00E02EBF"/>
    <w:rsid w:val="00E03813"/>
    <w:rsid w:val="00E03898"/>
    <w:rsid w:val="00E04032"/>
    <w:rsid w:val="00E048FE"/>
    <w:rsid w:val="00E04D3D"/>
    <w:rsid w:val="00E053E8"/>
    <w:rsid w:val="00E05D9A"/>
    <w:rsid w:val="00E062D1"/>
    <w:rsid w:val="00E06579"/>
    <w:rsid w:val="00E069C7"/>
    <w:rsid w:val="00E075FA"/>
    <w:rsid w:val="00E076BA"/>
    <w:rsid w:val="00E101B6"/>
    <w:rsid w:val="00E10634"/>
    <w:rsid w:val="00E10823"/>
    <w:rsid w:val="00E10FA7"/>
    <w:rsid w:val="00E111B2"/>
    <w:rsid w:val="00E12038"/>
    <w:rsid w:val="00E123F9"/>
    <w:rsid w:val="00E125D8"/>
    <w:rsid w:val="00E12635"/>
    <w:rsid w:val="00E129DC"/>
    <w:rsid w:val="00E131BD"/>
    <w:rsid w:val="00E14234"/>
    <w:rsid w:val="00E1475F"/>
    <w:rsid w:val="00E14ADB"/>
    <w:rsid w:val="00E15394"/>
    <w:rsid w:val="00E16676"/>
    <w:rsid w:val="00E16908"/>
    <w:rsid w:val="00E16E48"/>
    <w:rsid w:val="00E16EAC"/>
    <w:rsid w:val="00E17035"/>
    <w:rsid w:val="00E175EE"/>
    <w:rsid w:val="00E17CF8"/>
    <w:rsid w:val="00E20D04"/>
    <w:rsid w:val="00E21108"/>
    <w:rsid w:val="00E21515"/>
    <w:rsid w:val="00E2190D"/>
    <w:rsid w:val="00E21DE4"/>
    <w:rsid w:val="00E22878"/>
    <w:rsid w:val="00E2298D"/>
    <w:rsid w:val="00E231B6"/>
    <w:rsid w:val="00E231B9"/>
    <w:rsid w:val="00E23394"/>
    <w:rsid w:val="00E2344C"/>
    <w:rsid w:val="00E236A0"/>
    <w:rsid w:val="00E23756"/>
    <w:rsid w:val="00E23A1E"/>
    <w:rsid w:val="00E24143"/>
    <w:rsid w:val="00E2447C"/>
    <w:rsid w:val="00E2466D"/>
    <w:rsid w:val="00E24A75"/>
    <w:rsid w:val="00E259CC"/>
    <w:rsid w:val="00E25E72"/>
    <w:rsid w:val="00E26BE5"/>
    <w:rsid w:val="00E26EAB"/>
    <w:rsid w:val="00E27CF1"/>
    <w:rsid w:val="00E27D43"/>
    <w:rsid w:val="00E30839"/>
    <w:rsid w:val="00E30FFB"/>
    <w:rsid w:val="00E316D7"/>
    <w:rsid w:val="00E31F19"/>
    <w:rsid w:val="00E32502"/>
    <w:rsid w:val="00E33813"/>
    <w:rsid w:val="00E33CAB"/>
    <w:rsid w:val="00E33D55"/>
    <w:rsid w:val="00E34816"/>
    <w:rsid w:val="00E34B7E"/>
    <w:rsid w:val="00E352F5"/>
    <w:rsid w:val="00E35406"/>
    <w:rsid w:val="00E3583A"/>
    <w:rsid w:val="00E3583F"/>
    <w:rsid w:val="00E358AE"/>
    <w:rsid w:val="00E35DFF"/>
    <w:rsid w:val="00E3605A"/>
    <w:rsid w:val="00E362A9"/>
    <w:rsid w:val="00E36949"/>
    <w:rsid w:val="00E36DF8"/>
    <w:rsid w:val="00E375B6"/>
    <w:rsid w:val="00E401F3"/>
    <w:rsid w:val="00E40335"/>
    <w:rsid w:val="00E4068F"/>
    <w:rsid w:val="00E410EC"/>
    <w:rsid w:val="00E41883"/>
    <w:rsid w:val="00E42530"/>
    <w:rsid w:val="00E42EDD"/>
    <w:rsid w:val="00E42F49"/>
    <w:rsid w:val="00E43485"/>
    <w:rsid w:val="00E435F6"/>
    <w:rsid w:val="00E43828"/>
    <w:rsid w:val="00E43C17"/>
    <w:rsid w:val="00E43C81"/>
    <w:rsid w:val="00E43C94"/>
    <w:rsid w:val="00E4432A"/>
    <w:rsid w:val="00E444B9"/>
    <w:rsid w:val="00E44853"/>
    <w:rsid w:val="00E44978"/>
    <w:rsid w:val="00E449FC"/>
    <w:rsid w:val="00E4541A"/>
    <w:rsid w:val="00E456BB"/>
    <w:rsid w:val="00E47107"/>
    <w:rsid w:val="00E47153"/>
    <w:rsid w:val="00E4730C"/>
    <w:rsid w:val="00E474B1"/>
    <w:rsid w:val="00E47E33"/>
    <w:rsid w:val="00E50598"/>
    <w:rsid w:val="00E505CD"/>
    <w:rsid w:val="00E508A7"/>
    <w:rsid w:val="00E50A79"/>
    <w:rsid w:val="00E50C98"/>
    <w:rsid w:val="00E50E8A"/>
    <w:rsid w:val="00E511E6"/>
    <w:rsid w:val="00E5175F"/>
    <w:rsid w:val="00E51AEA"/>
    <w:rsid w:val="00E51BAB"/>
    <w:rsid w:val="00E52524"/>
    <w:rsid w:val="00E534B2"/>
    <w:rsid w:val="00E53521"/>
    <w:rsid w:val="00E539CD"/>
    <w:rsid w:val="00E53F93"/>
    <w:rsid w:val="00E54801"/>
    <w:rsid w:val="00E5498D"/>
    <w:rsid w:val="00E54C91"/>
    <w:rsid w:val="00E54D79"/>
    <w:rsid w:val="00E54EF1"/>
    <w:rsid w:val="00E553DF"/>
    <w:rsid w:val="00E5585D"/>
    <w:rsid w:val="00E55E12"/>
    <w:rsid w:val="00E563CB"/>
    <w:rsid w:val="00E5644D"/>
    <w:rsid w:val="00E56AA1"/>
    <w:rsid w:val="00E56B61"/>
    <w:rsid w:val="00E56CDF"/>
    <w:rsid w:val="00E56E52"/>
    <w:rsid w:val="00E5773B"/>
    <w:rsid w:val="00E6015F"/>
    <w:rsid w:val="00E605C9"/>
    <w:rsid w:val="00E60887"/>
    <w:rsid w:val="00E60E4A"/>
    <w:rsid w:val="00E612A9"/>
    <w:rsid w:val="00E61365"/>
    <w:rsid w:val="00E614DE"/>
    <w:rsid w:val="00E61EA0"/>
    <w:rsid w:val="00E61FAA"/>
    <w:rsid w:val="00E62BA2"/>
    <w:rsid w:val="00E6316F"/>
    <w:rsid w:val="00E63198"/>
    <w:rsid w:val="00E633A7"/>
    <w:rsid w:val="00E64106"/>
    <w:rsid w:val="00E64861"/>
    <w:rsid w:val="00E648F7"/>
    <w:rsid w:val="00E6539C"/>
    <w:rsid w:val="00E65B5D"/>
    <w:rsid w:val="00E65D41"/>
    <w:rsid w:val="00E65E6A"/>
    <w:rsid w:val="00E66212"/>
    <w:rsid w:val="00E66549"/>
    <w:rsid w:val="00E6671C"/>
    <w:rsid w:val="00E66A06"/>
    <w:rsid w:val="00E66B50"/>
    <w:rsid w:val="00E66B5E"/>
    <w:rsid w:val="00E66ECA"/>
    <w:rsid w:val="00E66FFE"/>
    <w:rsid w:val="00E6779B"/>
    <w:rsid w:val="00E7015E"/>
    <w:rsid w:val="00E70556"/>
    <w:rsid w:val="00E70C6F"/>
    <w:rsid w:val="00E70F2F"/>
    <w:rsid w:val="00E71096"/>
    <w:rsid w:val="00E713AF"/>
    <w:rsid w:val="00E7164A"/>
    <w:rsid w:val="00E7293C"/>
    <w:rsid w:val="00E72BCE"/>
    <w:rsid w:val="00E72E49"/>
    <w:rsid w:val="00E73000"/>
    <w:rsid w:val="00E733CF"/>
    <w:rsid w:val="00E73D9C"/>
    <w:rsid w:val="00E749DE"/>
    <w:rsid w:val="00E75472"/>
    <w:rsid w:val="00E757F7"/>
    <w:rsid w:val="00E7585C"/>
    <w:rsid w:val="00E7588E"/>
    <w:rsid w:val="00E75EB4"/>
    <w:rsid w:val="00E760E3"/>
    <w:rsid w:val="00E76566"/>
    <w:rsid w:val="00E76652"/>
    <w:rsid w:val="00E7715F"/>
    <w:rsid w:val="00E77E19"/>
    <w:rsid w:val="00E801D1"/>
    <w:rsid w:val="00E80A9C"/>
    <w:rsid w:val="00E812FE"/>
    <w:rsid w:val="00E81733"/>
    <w:rsid w:val="00E8197A"/>
    <w:rsid w:val="00E81A5E"/>
    <w:rsid w:val="00E81C59"/>
    <w:rsid w:val="00E81D2D"/>
    <w:rsid w:val="00E824F5"/>
    <w:rsid w:val="00E825DB"/>
    <w:rsid w:val="00E8269B"/>
    <w:rsid w:val="00E82A74"/>
    <w:rsid w:val="00E83AF4"/>
    <w:rsid w:val="00E83D52"/>
    <w:rsid w:val="00E83D81"/>
    <w:rsid w:val="00E84268"/>
    <w:rsid w:val="00E843D0"/>
    <w:rsid w:val="00E843E2"/>
    <w:rsid w:val="00E847E2"/>
    <w:rsid w:val="00E84DFE"/>
    <w:rsid w:val="00E854CC"/>
    <w:rsid w:val="00E857F3"/>
    <w:rsid w:val="00E85958"/>
    <w:rsid w:val="00E85C86"/>
    <w:rsid w:val="00E86F42"/>
    <w:rsid w:val="00E87334"/>
    <w:rsid w:val="00E8751E"/>
    <w:rsid w:val="00E87AEC"/>
    <w:rsid w:val="00E87C97"/>
    <w:rsid w:val="00E9051B"/>
    <w:rsid w:val="00E905B2"/>
    <w:rsid w:val="00E905DB"/>
    <w:rsid w:val="00E90648"/>
    <w:rsid w:val="00E90CC2"/>
    <w:rsid w:val="00E9235E"/>
    <w:rsid w:val="00E92854"/>
    <w:rsid w:val="00E92D71"/>
    <w:rsid w:val="00E9338B"/>
    <w:rsid w:val="00E93834"/>
    <w:rsid w:val="00E946F1"/>
    <w:rsid w:val="00E94B08"/>
    <w:rsid w:val="00E94B15"/>
    <w:rsid w:val="00E94BDB"/>
    <w:rsid w:val="00E952BC"/>
    <w:rsid w:val="00E95306"/>
    <w:rsid w:val="00E95A41"/>
    <w:rsid w:val="00E95C02"/>
    <w:rsid w:val="00E95C9F"/>
    <w:rsid w:val="00E96053"/>
    <w:rsid w:val="00E9676F"/>
    <w:rsid w:val="00E978E2"/>
    <w:rsid w:val="00EA008D"/>
    <w:rsid w:val="00EA0334"/>
    <w:rsid w:val="00EA034C"/>
    <w:rsid w:val="00EA0456"/>
    <w:rsid w:val="00EA0778"/>
    <w:rsid w:val="00EA09EF"/>
    <w:rsid w:val="00EA0DE8"/>
    <w:rsid w:val="00EA11D7"/>
    <w:rsid w:val="00EA1442"/>
    <w:rsid w:val="00EA14BF"/>
    <w:rsid w:val="00EA289B"/>
    <w:rsid w:val="00EA28D9"/>
    <w:rsid w:val="00EA33A3"/>
    <w:rsid w:val="00EA33E6"/>
    <w:rsid w:val="00EA3F78"/>
    <w:rsid w:val="00EA4131"/>
    <w:rsid w:val="00EA414B"/>
    <w:rsid w:val="00EA4170"/>
    <w:rsid w:val="00EA476F"/>
    <w:rsid w:val="00EA4DB3"/>
    <w:rsid w:val="00EA51B7"/>
    <w:rsid w:val="00EA569A"/>
    <w:rsid w:val="00EA5ED7"/>
    <w:rsid w:val="00EA6A97"/>
    <w:rsid w:val="00EA6D23"/>
    <w:rsid w:val="00EA7225"/>
    <w:rsid w:val="00EA7929"/>
    <w:rsid w:val="00EA7C44"/>
    <w:rsid w:val="00EA7DB1"/>
    <w:rsid w:val="00EB0258"/>
    <w:rsid w:val="00EB0CFF"/>
    <w:rsid w:val="00EB1392"/>
    <w:rsid w:val="00EB14B2"/>
    <w:rsid w:val="00EB1550"/>
    <w:rsid w:val="00EB1FEB"/>
    <w:rsid w:val="00EB21DB"/>
    <w:rsid w:val="00EB231E"/>
    <w:rsid w:val="00EB2891"/>
    <w:rsid w:val="00EB33ED"/>
    <w:rsid w:val="00EB3E92"/>
    <w:rsid w:val="00EB3F49"/>
    <w:rsid w:val="00EB43B1"/>
    <w:rsid w:val="00EB43B9"/>
    <w:rsid w:val="00EB4462"/>
    <w:rsid w:val="00EB46A1"/>
    <w:rsid w:val="00EB4FCB"/>
    <w:rsid w:val="00EB514F"/>
    <w:rsid w:val="00EB6518"/>
    <w:rsid w:val="00EB6AC4"/>
    <w:rsid w:val="00EB7507"/>
    <w:rsid w:val="00EB79BE"/>
    <w:rsid w:val="00EB7A72"/>
    <w:rsid w:val="00EB7BAB"/>
    <w:rsid w:val="00EB7C27"/>
    <w:rsid w:val="00EB7C45"/>
    <w:rsid w:val="00EB7DCD"/>
    <w:rsid w:val="00EB7EB1"/>
    <w:rsid w:val="00EC0917"/>
    <w:rsid w:val="00EC1082"/>
    <w:rsid w:val="00EC10BD"/>
    <w:rsid w:val="00EC1181"/>
    <w:rsid w:val="00EC21EB"/>
    <w:rsid w:val="00EC22BF"/>
    <w:rsid w:val="00EC2C23"/>
    <w:rsid w:val="00EC3023"/>
    <w:rsid w:val="00EC3416"/>
    <w:rsid w:val="00EC38F9"/>
    <w:rsid w:val="00EC40E6"/>
    <w:rsid w:val="00EC43A4"/>
    <w:rsid w:val="00EC57B5"/>
    <w:rsid w:val="00EC5B25"/>
    <w:rsid w:val="00EC5BA6"/>
    <w:rsid w:val="00EC5C63"/>
    <w:rsid w:val="00EC6168"/>
    <w:rsid w:val="00EC70A8"/>
    <w:rsid w:val="00EC70E6"/>
    <w:rsid w:val="00EC714E"/>
    <w:rsid w:val="00EC7183"/>
    <w:rsid w:val="00EC71CE"/>
    <w:rsid w:val="00EC7BA0"/>
    <w:rsid w:val="00EC7CD4"/>
    <w:rsid w:val="00ED00E8"/>
    <w:rsid w:val="00ED0737"/>
    <w:rsid w:val="00ED0A00"/>
    <w:rsid w:val="00ED0DE6"/>
    <w:rsid w:val="00ED120F"/>
    <w:rsid w:val="00ED1466"/>
    <w:rsid w:val="00ED1A36"/>
    <w:rsid w:val="00ED1BA0"/>
    <w:rsid w:val="00ED1DB9"/>
    <w:rsid w:val="00ED1FC5"/>
    <w:rsid w:val="00ED21D4"/>
    <w:rsid w:val="00ED2900"/>
    <w:rsid w:val="00ED2942"/>
    <w:rsid w:val="00ED2A7F"/>
    <w:rsid w:val="00ED301F"/>
    <w:rsid w:val="00ED31D7"/>
    <w:rsid w:val="00ED3391"/>
    <w:rsid w:val="00ED39DF"/>
    <w:rsid w:val="00ED3AC8"/>
    <w:rsid w:val="00ED4AFB"/>
    <w:rsid w:val="00ED4C89"/>
    <w:rsid w:val="00ED4E42"/>
    <w:rsid w:val="00ED5315"/>
    <w:rsid w:val="00ED54BC"/>
    <w:rsid w:val="00ED679F"/>
    <w:rsid w:val="00ED67CD"/>
    <w:rsid w:val="00ED6BE8"/>
    <w:rsid w:val="00ED70DF"/>
    <w:rsid w:val="00ED7AEB"/>
    <w:rsid w:val="00EE03A4"/>
    <w:rsid w:val="00EE0633"/>
    <w:rsid w:val="00EE09AE"/>
    <w:rsid w:val="00EE0CB4"/>
    <w:rsid w:val="00EE0D7B"/>
    <w:rsid w:val="00EE0DA7"/>
    <w:rsid w:val="00EE0F10"/>
    <w:rsid w:val="00EE133C"/>
    <w:rsid w:val="00EE2670"/>
    <w:rsid w:val="00EE2E85"/>
    <w:rsid w:val="00EE34A7"/>
    <w:rsid w:val="00EE370B"/>
    <w:rsid w:val="00EE3B94"/>
    <w:rsid w:val="00EE3C29"/>
    <w:rsid w:val="00EE3C71"/>
    <w:rsid w:val="00EE4431"/>
    <w:rsid w:val="00EE4A3F"/>
    <w:rsid w:val="00EE5893"/>
    <w:rsid w:val="00EE604A"/>
    <w:rsid w:val="00EE69B4"/>
    <w:rsid w:val="00EE69F4"/>
    <w:rsid w:val="00EE6A1D"/>
    <w:rsid w:val="00EE6B40"/>
    <w:rsid w:val="00EE6BFB"/>
    <w:rsid w:val="00EE6E37"/>
    <w:rsid w:val="00EE6FAC"/>
    <w:rsid w:val="00EE70ED"/>
    <w:rsid w:val="00EE7D06"/>
    <w:rsid w:val="00EE7E40"/>
    <w:rsid w:val="00EF058D"/>
    <w:rsid w:val="00EF063A"/>
    <w:rsid w:val="00EF07B2"/>
    <w:rsid w:val="00EF0DB9"/>
    <w:rsid w:val="00EF0F73"/>
    <w:rsid w:val="00EF1A09"/>
    <w:rsid w:val="00EF1AE9"/>
    <w:rsid w:val="00EF1BE6"/>
    <w:rsid w:val="00EF1E46"/>
    <w:rsid w:val="00EF2847"/>
    <w:rsid w:val="00EF363E"/>
    <w:rsid w:val="00EF3BC2"/>
    <w:rsid w:val="00EF3CBA"/>
    <w:rsid w:val="00EF3CDB"/>
    <w:rsid w:val="00EF3DBB"/>
    <w:rsid w:val="00EF3E75"/>
    <w:rsid w:val="00EF4409"/>
    <w:rsid w:val="00EF467D"/>
    <w:rsid w:val="00EF474F"/>
    <w:rsid w:val="00EF548F"/>
    <w:rsid w:val="00EF559E"/>
    <w:rsid w:val="00EF5A9D"/>
    <w:rsid w:val="00EF5D3D"/>
    <w:rsid w:val="00EF6137"/>
    <w:rsid w:val="00EF6194"/>
    <w:rsid w:val="00EF6DD5"/>
    <w:rsid w:val="00EF70A3"/>
    <w:rsid w:val="00EF7653"/>
    <w:rsid w:val="00EF7F94"/>
    <w:rsid w:val="00F01488"/>
    <w:rsid w:val="00F01B6E"/>
    <w:rsid w:val="00F02228"/>
    <w:rsid w:val="00F023C3"/>
    <w:rsid w:val="00F02CF9"/>
    <w:rsid w:val="00F02F66"/>
    <w:rsid w:val="00F0313E"/>
    <w:rsid w:val="00F03680"/>
    <w:rsid w:val="00F0378E"/>
    <w:rsid w:val="00F03D4F"/>
    <w:rsid w:val="00F04041"/>
    <w:rsid w:val="00F04049"/>
    <w:rsid w:val="00F044A3"/>
    <w:rsid w:val="00F04702"/>
    <w:rsid w:val="00F05D28"/>
    <w:rsid w:val="00F06065"/>
    <w:rsid w:val="00F06816"/>
    <w:rsid w:val="00F06EDE"/>
    <w:rsid w:val="00F072B4"/>
    <w:rsid w:val="00F075B6"/>
    <w:rsid w:val="00F07A6F"/>
    <w:rsid w:val="00F07BC9"/>
    <w:rsid w:val="00F07E03"/>
    <w:rsid w:val="00F07F52"/>
    <w:rsid w:val="00F1091F"/>
    <w:rsid w:val="00F10D39"/>
    <w:rsid w:val="00F1191E"/>
    <w:rsid w:val="00F11BCC"/>
    <w:rsid w:val="00F122F4"/>
    <w:rsid w:val="00F123FE"/>
    <w:rsid w:val="00F12908"/>
    <w:rsid w:val="00F1295E"/>
    <w:rsid w:val="00F13300"/>
    <w:rsid w:val="00F138EF"/>
    <w:rsid w:val="00F140F5"/>
    <w:rsid w:val="00F140F7"/>
    <w:rsid w:val="00F141CB"/>
    <w:rsid w:val="00F14441"/>
    <w:rsid w:val="00F14528"/>
    <w:rsid w:val="00F14564"/>
    <w:rsid w:val="00F14F70"/>
    <w:rsid w:val="00F151CB"/>
    <w:rsid w:val="00F15643"/>
    <w:rsid w:val="00F15BC1"/>
    <w:rsid w:val="00F15C44"/>
    <w:rsid w:val="00F160FA"/>
    <w:rsid w:val="00F16178"/>
    <w:rsid w:val="00F17847"/>
    <w:rsid w:val="00F20274"/>
    <w:rsid w:val="00F2091A"/>
    <w:rsid w:val="00F20AFD"/>
    <w:rsid w:val="00F21B73"/>
    <w:rsid w:val="00F2235D"/>
    <w:rsid w:val="00F2246A"/>
    <w:rsid w:val="00F22842"/>
    <w:rsid w:val="00F24B61"/>
    <w:rsid w:val="00F2502E"/>
    <w:rsid w:val="00F25739"/>
    <w:rsid w:val="00F25FD2"/>
    <w:rsid w:val="00F2632A"/>
    <w:rsid w:val="00F264E0"/>
    <w:rsid w:val="00F275B8"/>
    <w:rsid w:val="00F27FD6"/>
    <w:rsid w:val="00F30B51"/>
    <w:rsid w:val="00F30FF5"/>
    <w:rsid w:val="00F311A5"/>
    <w:rsid w:val="00F31300"/>
    <w:rsid w:val="00F320D2"/>
    <w:rsid w:val="00F32381"/>
    <w:rsid w:val="00F324C4"/>
    <w:rsid w:val="00F32587"/>
    <w:rsid w:val="00F32FF0"/>
    <w:rsid w:val="00F33486"/>
    <w:rsid w:val="00F3360B"/>
    <w:rsid w:val="00F3362E"/>
    <w:rsid w:val="00F3374E"/>
    <w:rsid w:val="00F337DD"/>
    <w:rsid w:val="00F33977"/>
    <w:rsid w:val="00F33CFA"/>
    <w:rsid w:val="00F33D44"/>
    <w:rsid w:val="00F33D7A"/>
    <w:rsid w:val="00F3428F"/>
    <w:rsid w:val="00F34E7C"/>
    <w:rsid w:val="00F3523F"/>
    <w:rsid w:val="00F357DD"/>
    <w:rsid w:val="00F35D97"/>
    <w:rsid w:val="00F35E5C"/>
    <w:rsid w:val="00F35EFB"/>
    <w:rsid w:val="00F3605D"/>
    <w:rsid w:val="00F360C7"/>
    <w:rsid w:val="00F37523"/>
    <w:rsid w:val="00F40495"/>
    <w:rsid w:val="00F40F7D"/>
    <w:rsid w:val="00F41680"/>
    <w:rsid w:val="00F416EB"/>
    <w:rsid w:val="00F41AD3"/>
    <w:rsid w:val="00F426BF"/>
    <w:rsid w:val="00F42714"/>
    <w:rsid w:val="00F42B10"/>
    <w:rsid w:val="00F42CCD"/>
    <w:rsid w:val="00F42CD4"/>
    <w:rsid w:val="00F4376A"/>
    <w:rsid w:val="00F43CB6"/>
    <w:rsid w:val="00F43CDE"/>
    <w:rsid w:val="00F43DD7"/>
    <w:rsid w:val="00F43E0E"/>
    <w:rsid w:val="00F4496D"/>
    <w:rsid w:val="00F44AEB"/>
    <w:rsid w:val="00F44CB0"/>
    <w:rsid w:val="00F44D01"/>
    <w:rsid w:val="00F44DC3"/>
    <w:rsid w:val="00F4504D"/>
    <w:rsid w:val="00F451C9"/>
    <w:rsid w:val="00F4529A"/>
    <w:rsid w:val="00F46010"/>
    <w:rsid w:val="00F4604A"/>
    <w:rsid w:val="00F461DC"/>
    <w:rsid w:val="00F46444"/>
    <w:rsid w:val="00F46932"/>
    <w:rsid w:val="00F46B97"/>
    <w:rsid w:val="00F47380"/>
    <w:rsid w:val="00F500EC"/>
    <w:rsid w:val="00F5018B"/>
    <w:rsid w:val="00F5023E"/>
    <w:rsid w:val="00F506C6"/>
    <w:rsid w:val="00F50B6E"/>
    <w:rsid w:val="00F51201"/>
    <w:rsid w:val="00F51C1B"/>
    <w:rsid w:val="00F5281B"/>
    <w:rsid w:val="00F53490"/>
    <w:rsid w:val="00F53F08"/>
    <w:rsid w:val="00F54156"/>
    <w:rsid w:val="00F541BD"/>
    <w:rsid w:val="00F543FA"/>
    <w:rsid w:val="00F546EC"/>
    <w:rsid w:val="00F54A96"/>
    <w:rsid w:val="00F5501D"/>
    <w:rsid w:val="00F55361"/>
    <w:rsid w:val="00F553AC"/>
    <w:rsid w:val="00F556ED"/>
    <w:rsid w:val="00F55E72"/>
    <w:rsid w:val="00F56171"/>
    <w:rsid w:val="00F56644"/>
    <w:rsid w:val="00F56A84"/>
    <w:rsid w:val="00F56B1F"/>
    <w:rsid w:val="00F5707C"/>
    <w:rsid w:val="00F572DD"/>
    <w:rsid w:val="00F579B5"/>
    <w:rsid w:val="00F579F9"/>
    <w:rsid w:val="00F57ABD"/>
    <w:rsid w:val="00F600F2"/>
    <w:rsid w:val="00F60336"/>
    <w:rsid w:val="00F607EE"/>
    <w:rsid w:val="00F60DC0"/>
    <w:rsid w:val="00F614B2"/>
    <w:rsid w:val="00F61BC9"/>
    <w:rsid w:val="00F628E3"/>
    <w:rsid w:val="00F62DBD"/>
    <w:rsid w:val="00F62E11"/>
    <w:rsid w:val="00F63653"/>
    <w:rsid w:val="00F636E8"/>
    <w:rsid w:val="00F63EF0"/>
    <w:rsid w:val="00F6417D"/>
    <w:rsid w:val="00F6450D"/>
    <w:rsid w:val="00F64912"/>
    <w:rsid w:val="00F64A1D"/>
    <w:rsid w:val="00F64AFB"/>
    <w:rsid w:val="00F6562A"/>
    <w:rsid w:val="00F663D4"/>
    <w:rsid w:val="00F67192"/>
    <w:rsid w:val="00F6748F"/>
    <w:rsid w:val="00F67997"/>
    <w:rsid w:val="00F67AAE"/>
    <w:rsid w:val="00F70115"/>
    <w:rsid w:val="00F7032D"/>
    <w:rsid w:val="00F71FAD"/>
    <w:rsid w:val="00F7270F"/>
    <w:rsid w:val="00F7282F"/>
    <w:rsid w:val="00F72EAE"/>
    <w:rsid w:val="00F734DC"/>
    <w:rsid w:val="00F737FD"/>
    <w:rsid w:val="00F73E2F"/>
    <w:rsid w:val="00F74252"/>
    <w:rsid w:val="00F7460D"/>
    <w:rsid w:val="00F74D7C"/>
    <w:rsid w:val="00F75215"/>
    <w:rsid w:val="00F75307"/>
    <w:rsid w:val="00F7574C"/>
    <w:rsid w:val="00F75C2C"/>
    <w:rsid w:val="00F7665F"/>
    <w:rsid w:val="00F76A5E"/>
    <w:rsid w:val="00F76A83"/>
    <w:rsid w:val="00F7761A"/>
    <w:rsid w:val="00F776EB"/>
    <w:rsid w:val="00F80C20"/>
    <w:rsid w:val="00F8101E"/>
    <w:rsid w:val="00F813D4"/>
    <w:rsid w:val="00F82753"/>
    <w:rsid w:val="00F82CE6"/>
    <w:rsid w:val="00F8317C"/>
    <w:rsid w:val="00F831CE"/>
    <w:rsid w:val="00F83935"/>
    <w:rsid w:val="00F83A81"/>
    <w:rsid w:val="00F83F93"/>
    <w:rsid w:val="00F846B6"/>
    <w:rsid w:val="00F850D3"/>
    <w:rsid w:val="00F85705"/>
    <w:rsid w:val="00F85B55"/>
    <w:rsid w:val="00F866E8"/>
    <w:rsid w:val="00F8737C"/>
    <w:rsid w:val="00F87453"/>
    <w:rsid w:val="00F876E2"/>
    <w:rsid w:val="00F877B6"/>
    <w:rsid w:val="00F87E49"/>
    <w:rsid w:val="00F87EB2"/>
    <w:rsid w:val="00F90458"/>
    <w:rsid w:val="00F9064D"/>
    <w:rsid w:val="00F90966"/>
    <w:rsid w:val="00F90BBF"/>
    <w:rsid w:val="00F911B8"/>
    <w:rsid w:val="00F91633"/>
    <w:rsid w:val="00F91899"/>
    <w:rsid w:val="00F918C9"/>
    <w:rsid w:val="00F91A55"/>
    <w:rsid w:val="00F91C07"/>
    <w:rsid w:val="00F920BC"/>
    <w:rsid w:val="00F926C4"/>
    <w:rsid w:val="00F92C1E"/>
    <w:rsid w:val="00F9356B"/>
    <w:rsid w:val="00F936A6"/>
    <w:rsid w:val="00F93B90"/>
    <w:rsid w:val="00F93D2D"/>
    <w:rsid w:val="00F94390"/>
    <w:rsid w:val="00F95162"/>
    <w:rsid w:val="00F9563D"/>
    <w:rsid w:val="00F95E6A"/>
    <w:rsid w:val="00F95EBE"/>
    <w:rsid w:val="00F9645B"/>
    <w:rsid w:val="00F96CC4"/>
    <w:rsid w:val="00F9706F"/>
    <w:rsid w:val="00F975F0"/>
    <w:rsid w:val="00F97753"/>
    <w:rsid w:val="00F977A4"/>
    <w:rsid w:val="00F97E3B"/>
    <w:rsid w:val="00F97E48"/>
    <w:rsid w:val="00FA02F6"/>
    <w:rsid w:val="00FA0346"/>
    <w:rsid w:val="00FA0D65"/>
    <w:rsid w:val="00FA0E61"/>
    <w:rsid w:val="00FA1283"/>
    <w:rsid w:val="00FA2699"/>
    <w:rsid w:val="00FA285A"/>
    <w:rsid w:val="00FA2A98"/>
    <w:rsid w:val="00FA2E6A"/>
    <w:rsid w:val="00FA2FA2"/>
    <w:rsid w:val="00FA30BB"/>
    <w:rsid w:val="00FA311F"/>
    <w:rsid w:val="00FA32C6"/>
    <w:rsid w:val="00FA37B0"/>
    <w:rsid w:val="00FA49CA"/>
    <w:rsid w:val="00FA4DF9"/>
    <w:rsid w:val="00FA5129"/>
    <w:rsid w:val="00FA543C"/>
    <w:rsid w:val="00FA57D8"/>
    <w:rsid w:val="00FA5A87"/>
    <w:rsid w:val="00FA6963"/>
    <w:rsid w:val="00FA6A6C"/>
    <w:rsid w:val="00FA7553"/>
    <w:rsid w:val="00FA79D5"/>
    <w:rsid w:val="00FB067F"/>
    <w:rsid w:val="00FB07E8"/>
    <w:rsid w:val="00FB0DC0"/>
    <w:rsid w:val="00FB1ADA"/>
    <w:rsid w:val="00FB1E5D"/>
    <w:rsid w:val="00FB21BD"/>
    <w:rsid w:val="00FB29AD"/>
    <w:rsid w:val="00FB338C"/>
    <w:rsid w:val="00FB3A88"/>
    <w:rsid w:val="00FB41F8"/>
    <w:rsid w:val="00FB42D7"/>
    <w:rsid w:val="00FB4F18"/>
    <w:rsid w:val="00FB506F"/>
    <w:rsid w:val="00FB58E2"/>
    <w:rsid w:val="00FB5C1C"/>
    <w:rsid w:val="00FB5D3C"/>
    <w:rsid w:val="00FB69BD"/>
    <w:rsid w:val="00FB70E9"/>
    <w:rsid w:val="00FB71C7"/>
    <w:rsid w:val="00FB7351"/>
    <w:rsid w:val="00FB7668"/>
    <w:rsid w:val="00FB786E"/>
    <w:rsid w:val="00FB79E3"/>
    <w:rsid w:val="00FB7B77"/>
    <w:rsid w:val="00FC00AC"/>
    <w:rsid w:val="00FC0149"/>
    <w:rsid w:val="00FC068D"/>
    <w:rsid w:val="00FC0D58"/>
    <w:rsid w:val="00FC0D9D"/>
    <w:rsid w:val="00FC1234"/>
    <w:rsid w:val="00FC1646"/>
    <w:rsid w:val="00FC1DCD"/>
    <w:rsid w:val="00FC2808"/>
    <w:rsid w:val="00FC2C41"/>
    <w:rsid w:val="00FC32F0"/>
    <w:rsid w:val="00FC33F0"/>
    <w:rsid w:val="00FC3BA6"/>
    <w:rsid w:val="00FC3E69"/>
    <w:rsid w:val="00FC4C60"/>
    <w:rsid w:val="00FC4F9A"/>
    <w:rsid w:val="00FC5793"/>
    <w:rsid w:val="00FC5C99"/>
    <w:rsid w:val="00FC5DCF"/>
    <w:rsid w:val="00FC755D"/>
    <w:rsid w:val="00FC7948"/>
    <w:rsid w:val="00FC7C03"/>
    <w:rsid w:val="00FC7FD1"/>
    <w:rsid w:val="00FD1F1A"/>
    <w:rsid w:val="00FD2197"/>
    <w:rsid w:val="00FD221C"/>
    <w:rsid w:val="00FD315B"/>
    <w:rsid w:val="00FD3185"/>
    <w:rsid w:val="00FD423F"/>
    <w:rsid w:val="00FD4BC2"/>
    <w:rsid w:val="00FD4DFA"/>
    <w:rsid w:val="00FD4E13"/>
    <w:rsid w:val="00FD530B"/>
    <w:rsid w:val="00FD62F4"/>
    <w:rsid w:val="00FD6333"/>
    <w:rsid w:val="00FD7818"/>
    <w:rsid w:val="00FD7EA8"/>
    <w:rsid w:val="00FE03C9"/>
    <w:rsid w:val="00FE052A"/>
    <w:rsid w:val="00FE08E8"/>
    <w:rsid w:val="00FE27E7"/>
    <w:rsid w:val="00FE27ED"/>
    <w:rsid w:val="00FE2D89"/>
    <w:rsid w:val="00FE3880"/>
    <w:rsid w:val="00FE3B2A"/>
    <w:rsid w:val="00FE3C17"/>
    <w:rsid w:val="00FE4532"/>
    <w:rsid w:val="00FE45CE"/>
    <w:rsid w:val="00FE4BF3"/>
    <w:rsid w:val="00FE51FB"/>
    <w:rsid w:val="00FE547B"/>
    <w:rsid w:val="00FE5816"/>
    <w:rsid w:val="00FE604A"/>
    <w:rsid w:val="00FE6CF2"/>
    <w:rsid w:val="00FE7241"/>
    <w:rsid w:val="00FE775F"/>
    <w:rsid w:val="00FE776E"/>
    <w:rsid w:val="00FF0176"/>
    <w:rsid w:val="00FF0A81"/>
    <w:rsid w:val="00FF1149"/>
    <w:rsid w:val="00FF129C"/>
    <w:rsid w:val="00FF1582"/>
    <w:rsid w:val="00FF187A"/>
    <w:rsid w:val="00FF2283"/>
    <w:rsid w:val="00FF22FC"/>
    <w:rsid w:val="00FF2C16"/>
    <w:rsid w:val="00FF44AF"/>
    <w:rsid w:val="00FF4E66"/>
    <w:rsid w:val="00FF530C"/>
    <w:rsid w:val="00FF544B"/>
    <w:rsid w:val="00FF54EC"/>
    <w:rsid w:val="00FF5A43"/>
    <w:rsid w:val="00FF5CC8"/>
    <w:rsid w:val="00FF5EE6"/>
    <w:rsid w:val="00FF5F98"/>
    <w:rsid w:val="00FF6249"/>
    <w:rsid w:val="00FF6360"/>
    <w:rsid w:val="00FF669A"/>
    <w:rsid w:val="00FF7674"/>
    <w:rsid w:val="00FF77CB"/>
    <w:rsid w:val="00FF7B18"/>
    <w:rsid w:val="00FF7B58"/>
    <w:rsid w:val="00FF7BAC"/>
    <w:rsid w:val="00FF7E5A"/>
    <w:rsid w:val="010B7642"/>
    <w:rsid w:val="0139540B"/>
    <w:rsid w:val="01634DAD"/>
    <w:rsid w:val="017F7D02"/>
    <w:rsid w:val="01E23011"/>
    <w:rsid w:val="02211BAE"/>
    <w:rsid w:val="02293943"/>
    <w:rsid w:val="02435763"/>
    <w:rsid w:val="02455D89"/>
    <w:rsid w:val="024B6E08"/>
    <w:rsid w:val="02867093"/>
    <w:rsid w:val="02C80F58"/>
    <w:rsid w:val="02D1729F"/>
    <w:rsid w:val="02E57877"/>
    <w:rsid w:val="032F672A"/>
    <w:rsid w:val="034B763D"/>
    <w:rsid w:val="035324EB"/>
    <w:rsid w:val="03553D79"/>
    <w:rsid w:val="0361440A"/>
    <w:rsid w:val="03740A5A"/>
    <w:rsid w:val="03782989"/>
    <w:rsid w:val="040657CA"/>
    <w:rsid w:val="044A4F10"/>
    <w:rsid w:val="044E332E"/>
    <w:rsid w:val="04532D85"/>
    <w:rsid w:val="045A3333"/>
    <w:rsid w:val="04783517"/>
    <w:rsid w:val="047A3787"/>
    <w:rsid w:val="049B3B03"/>
    <w:rsid w:val="04E90279"/>
    <w:rsid w:val="04F90B5B"/>
    <w:rsid w:val="05185CD5"/>
    <w:rsid w:val="05204DDB"/>
    <w:rsid w:val="0521452F"/>
    <w:rsid w:val="055F2BCB"/>
    <w:rsid w:val="056F72B2"/>
    <w:rsid w:val="05D37964"/>
    <w:rsid w:val="05E27A84"/>
    <w:rsid w:val="05F23A3F"/>
    <w:rsid w:val="064549BD"/>
    <w:rsid w:val="067A781D"/>
    <w:rsid w:val="069953E1"/>
    <w:rsid w:val="06B50CF4"/>
    <w:rsid w:val="06B538F4"/>
    <w:rsid w:val="06BD6180"/>
    <w:rsid w:val="06E67100"/>
    <w:rsid w:val="07203BAE"/>
    <w:rsid w:val="072220BA"/>
    <w:rsid w:val="07223BAD"/>
    <w:rsid w:val="07223BB5"/>
    <w:rsid w:val="0730481F"/>
    <w:rsid w:val="074849DB"/>
    <w:rsid w:val="0766035D"/>
    <w:rsid w:val="07A77932"/>
    <w:rsid w:val="07AF7E3A"/>
    <w:rsid w:val="07B13291"/>
    <w:rsid w:val="07C55551"/>
    <w:rsid w:val="07D802C0"/>
    <w:rsid w:val="07E22BA6"/>
    <w:rsid w:val="082C1351"/>
    <w:rsid w:val="08344079"/>
    <w:rsid w:val="08433CA6"/>
    <w:rsid w:val="08B73DC9"/>
    <w:rsid w:val="08BD44F2"/>
    <w:rsid w:val="08E372A8"/>
    <w:rsid w:val="08FC0E5C"/>
    <w:rsid w:val="09077801"/>
    <w:rsid w:val="09246605"/>
    <w:rsid w:val="099472E7"/>
    <w:rsid w:val="09A23AD6"/>
    <w:rsid w:val="09B36A35"/>
    <w:rsid w:val="09BE30E6"/>
    <w:rsid w:val="0A053D41"/>
    <w:rsid w:val="0A161583"/>
    <w:rsid w:val="0A3039B1"/>
    <w:rsid w:val="0A514329"/>
    <w:rsid w:val="0A615078"/>
    <w:rsid w:val="0A696248"/>
    <w:rsid w:val="0AE235A4"/>
    <w:rsid w:val="0B002E5D"/>
    <w:rsid w:val="0B143D7D"/>
    <w:rsid w:val="0B186F16"/>
    <w:rsid w:val="0B5D1E7F"/>
    <w:rsid w:val="0B635D6A"/>
    <w:rsid w:val="0B807457"/>
    <w:rsid w:val="0B980BE5"/>
    <w:rsid w:val="0B9B661D"/>
    <w:rsid w:val="0BB772BD"/>
    <w:rsid w:val="0BC345CF"/>
    <w:rsid w:val="0C0F6F17"/>
    <w:rsid w:val="0C2612A0"/>
    <w:rsid w:val="0C6A3DE0"/>
    <w:rsid w:val="0C760F26"/>
    <w:rsid w:val="0C9327B6"/>
    <w:rsid w:val="0C970E9C"/>
    <w:rsid w:val="0C9758B9"/>
    <w:rsid w:val="0CA2214E"/>
    <w:rsid w:val="0CC021A1"/>
    <w:rsid w:val="0CC76F66"/>
    <w:rsid w:val="0CCE0023"/>
    <w:rsid w:val="0CEE1455"/>
    <w:rsid w:val="0D2C7836"/>
    <w:rsid w:val="0D391DAF"/>
    <w:rsid w:val="0D3B4051"/>
    <w:rsid w:val="0D3C7DAF"/>
    <w:rsid w:val="0D810DF7"/>
    <w:rsid w:val="0DC1531D"/>
    <w:rsid w:val="0DC832B2"/>
    <w:rsid w:val="0DD30098"/>
    <w:rsid w:val="0DDD6D83"/>
    <w:rsid w:val="0E190991"/>
    <w:rsid w:val="0E4136CA"/>
    <w:rsid w:val="0E454D40"/>
    <w:rsid w:val="0E576B35"/>
    <w:rsid w:val="0E8042DE"/>
    <w:rsid w:val="0E8872EF"/>
    <w:rsid w:val="0E8C0456"/>
    <w:rsid w:val="0EE509C2"/>
    <w:rsid w:val="0F08152B"/>
    <w:rsid w:val="0F1A01B7"/>
    <w:rsid w:val="0F406DD3"/>
    <w:rsid w:val="0F4B7851"/>
    <w:rsid w:val="0F720AA2"/>
    <w:rsid w:val="0FA1450C"/>
    <w:rsid w:val="0FC14BAE"/>
    <w:rsid w:val="0FF747D3"/>
    <w:rsid w:val="0FF829AC"/>
    <w:rsid w:val="10164B03"/>
    <w:rsid w:val="10404E12"/>
    <w:rsid w:val="10493E65"/>
    <w:rsid w:val="105605BF"/>
    <w:rsid w:val="106406E4"/>
    <w:rsid w:val="10731E18"/>
    <w:rsid w:val="10832137"/>
    <w:rsid w:val="10BA7D11"/>
    <w:rsid w:val="10CD4E26"/>
    <w:rsid w:val="10F90464"/>
    <w:rsid w:val="110E3E23"/>
    <w:rsid w:val="1148195F"/>
    <w:rsid w:val="11535CDA"/>
    <w:rsid w:val="11B45DA8"/>
    <w:rsid w:val="11BD2FE3"/>
    <w:rsid w:val="11D40DE0"/>
    <w:rsid w:val="11EB6EB3"/>
    <w:rsid w:val="11FF376C"/>
    <w:rsid w:val="121F4EBE"/>
    <w:rsid w:val="12275DD5"/>
    <w:rsid w:val="12647EC4"/>
    <w:rsid w:val="1277382E"/>
    <w:rsid w:val="12AF0AA4"/>
    <w:rsid w:val="12CC2DDB"/>
    <w:rsid w:val="12DA0956"/>
    <w:rsid w:val="12E070F9"/>
    <w:rsid w:val="12F508D2"/>
    <w:rsid w:val="13022CEC"/>
    <w:rsid w:val="131C7569"/>
    <w:rsid w:val="133E2072"/>
    <w:rsid w:val="134F0723"/>
    <w:rsid w:val="138D7D05"/>
    <w:rsid w:val="13B97EC5"/>
    <w:rsid w:val="13ED41C3"/>
    <w:rsid w:val="140C1889"/>
    <w:rsid w:val="142571A2"/>
    <w:rsid w:val="14441127"/>
    <w:rsid w:val="14616E91"/>
    <w:rsid w:val="146321BB"/>
    <w:rsid w:val="14643D5A"/>
    <w:rsid w:val="14D30834"/>
    <w:rsid w:val="14F368AB"/>
    <w:rsid w:val="14F60155"/>
    <w:rsid w:val="153E27FD"/>
    <w:rsid w:val="1548367B"/>
    <w:rsid w:val="15730777"/>
    <w:rsid w:val="15736473"/>
    <w:rsid w:val="160E7BD1"/>
    <w:rsid w:val="1610119E"/>
    <w:rsid w:val="161A2C9D"/>
    <w:rsid w:val="163129CD"/>
    <w:rsid w:val="168E1562"/>
    <w:rsid w:val="16A50497"/>
    <w:rsid w:val="16AB1966"/>
    <w:rsid w:val="16B965DF"/>
    <w:rsid w:val="16C17009"/>
    <w:rsid w:val="16DC4A14"/>
    <w:rsid w:val="170345EE"/>
    <w:rsid w:val="171E28E6"/>
    <w:rsid w:val="173914CE"/>
    <w:rsid w:val="17481711"/>
    <w:rsid w:val="176C0F1B"/>
    <w:rsid w:val="177F70FC"/>
    <w:rsid w:val="17A07045"/>
    <w:rsid w:val="17B5219E"/>
    <w:rsid w:val="17DA2A80"/>
    <w:rsid w:val="17E256F8"/>
    <w:rsid w:val="17EF2CFE"/>
    <w:rsid w:val="1814079D"/>
    <w:rsid w:val="18794016"/>
    <w:rsid w:val="188B7B07"/>
    <w:rsid w:val="18A35EC5"/>
    <w:rsid w:val="18C577EA"/>
    <w:rsid w:val="18E4321D"/>
    <w:rsid w:val="18F01B03"/>
    <w:rsid w:val="194F6D87"/>
    <w:rsid w:val="198C53F8"/>
    <w:rsid w:val="199A2DEE"/>
    <w:rsid w:val="199C5D44"/>
    <w:rsid w:val="19BA663C"/>
    <w:rsid w:val="1A0829B9"/>
    <w:rsid w:val="1A24134C"/>
    <w:rsid w:val="1A2C531A"/>
    <w:rsid w:val="1A4662CF"/>
    <w:rsid w:val="1A5B6D10"/>
    <w:rsid w:val="1A6A1F83"/>
    <w:rsid w:val="1A9644A7"/>
    <w:rsid w:val="1AA47422"/>
    <w:rsid w:val="1ABA7F1D"/>
    <w:rsid w:val="1AE500A6"/>
    <w:rsid w:val="1AF17E5B"/>
    <w:rsid w:val="1B067A5E"/>
    <w:rsid w:val="1B0A429C"/>
    <w:rsid w:val="1B223F1A"/>
    <w:rsid w:val="1B682381"/>
    <w:rsid w:val="1B803787"/>
    <w:rsid w:val="1BC77097"/>
    <w:rsid w:val="1BEA01F2"/>
    <w:rsid w:val="1BEA723A"/>
    <w:rsid w:val="1BF3662A"/>
    <w:rsid w:val="1C085913"/>
    <w:rsid w:val="1C102AB4"/>
    <w:rsid w:val="1C183DA8"/>
    <w:rsid w:val="1C387FA6"/>
    <w:rsid w:val="1C3D5DDF"/>
    <w:rsid w:val="1C4862D2"/>
    <w:rsid w:val="1C492D57"/>
    <w:rsid w:val="1C583173"/>
    <w:rsid w:val="1C662091"/>
    <w:rsid w:val="1C6F5C02"/>
    <w:rsid w:val="1C9E77E8"/>
    <w:rsid w:val="1D0625C0"/>
    <w:rsid w:val="1D1562EE"/>
    <w:rsid w:val="1D5B60DB"/>
    <w:rsid w:val="1D81111E"/>
    <w:rsid w:val="1D905BC0"/>
    <w:rsid w:val="1DAA4A53"/>
    <w:rsid w:val="1DBA2C3C"/>
    <w:rsid w:val="1DBB0C9B"/>
    <w:rsid w:val="1DCF0207"/>
    <w:rsid w:val="1DD64AED"/>
    <w:rsid w:val="1E192DA5"/>
    <w:rsid w:val="1E223D4C"/>
    <w:rsid w:val="1E407A47"/>
    <w:rsid w:val="1E6C0104"/>
    <w:rsid w:val="1E917339"/>
    <w:rsid w:val="1EC06494"/>
    <w:rsid w:val="1EF729D5"/>
    <w:rsid w:val="1F026344"/>
    <w:rsid w:val="1F374D1F"/>
    <w:rsid w:val="1F8E612F"/>
    <w:rsid w:val="1FBA687F"/>
    <w:rsid w:val="1FBE1E90"/>
    <w:rsid w:val="1FC13D30"/>
    <w:rsid w:val="1FCA3D94"/>
    <w:rsid w:val="1FFE71B7"/>
    <w:rsid w:val="200E0021"/>
    <w:rsid w:val="204F1D62"/>
    <w:rsid w:val="205C321F"/>
    <w:rsid w:val="207E073E"/>
    <w:rsid w:val="209839C4"/>
    <w:rsid w:val="20A51982"/>
    <w:rsid w:val="20AB105A"/>
    <w:rsid w:val="20C40F10"/>
    <w:rsid w:val="20E052CB"/>
    <w:rsid w:val="20EA73A7"/>
    <w:rsid w:val="21111EDC"/>
    <w:rsid w:val="21170CAE"/>
    <w:rsid w:val="211751B1"/>
    <w:rsid w:val="21482ECD"/>
    <w:rsid w:val="214E3C4C"/>
    <w:rsid w:val="21827B08"/>
    <w:rsid w:val="2190727D"/>
    <w:rsid w:val="21977B3A"/>
    <w:rsid w:val="21CB110C"/>
    <w:rsid w:val="222455EB"/>
    <w:rsid w:val="22255CB0"/>
    <w:rsid w:val="224F7DEF"/>
    <w:rsid w:val="225B24C2"/>
    <w:rsid w:val="227D2BB6"/>
    <w:rsid w:val="227E6985"/>
    <w:rsid w:val="22B87754"/>
    <w:rsid w:val="22F56BF1"/>
    <w:rsid w:val="23445482"/>
    <w:rsid w:val="234D3E49"/>
    <w:rsid w:val="23580F2E"/>
    <w:rsid w:val="235D6EBB"/>
    <w:rsid w:val="2375388E"/>
    <w:rsid w:val="237C236E"/>
    <w:rsid w:val="23953F30"/>
    <w:rsid w:val="23AB5501"/>
    <w:rsid w:val="23C245F9"/>
    <w:rsid w:val="23E47D3B"/>
    <w:rsid w:val="23E82132"/>
    <w:rsid w:val="23EF5E20"/>
    <w:rsid w:val="23F664EC"/>
    <w:rsid w:val="23FE3FEE"/>
    <w:rsid w:val="240514AB"/>
    <w:rsid w:val="240E3936"/>
    <w:rsid w:val="241E2177"/>
    <w:rsid w:val="244A674C"/>
    <w:rsid w:val="245C67FB"/>
    <w:rsid w:val="2462216B"/>
    <w:rsid w:val="247A77C7"/>
    <w:rsid w:val="247D2982"/>
    <w:rsid w:val="24997A50"/>
    <w:rsid w:val="24A520C1"/>
    <w:rsid w:val="24CD7867"/>
    <w:rsid w:val="24DC0B26"/>
    <w:rsid w:val="259F3F8F"/>
    <w:rsid w:val="25A93CC2"/>
    <w:rsid w:val="25C62FBF"/>
    <w:rsid w:val="25DD1926"/>
    <w:rsid w:val="25E20F82"/>
    <w:rsid w:val="261B1F8E"/>
    <w:rsid w:val="261F659D"/>
    <w:rsid w:val="26263565"/>
    <w:rsid w:val="2628070A"/>
    <w:rsid w:val="2636185A"/>
    <w:rsid w:val="263A0DBE"/>
    <w:rsid w:val="265B27E9"/>
    <w:rsid w:val="266434A6"/>
    <w:rsid w:val="26784068"/>
    <w:rsid w:val="26853386"/>
    <w:rsid w:val="268D6192"/>
    <w:rsid w:val="26950C38"/>
    <w:rsid w:val="26A10795"/>
    <w:rsid w:val="26A10E3D"/>
    <w:rsid w:val="26A12BEB"/>
    <w:rsid w:val="26C67373"/>
    <w:rsid w:val="26DE2B81"/>
    <w:rsid w:val="26F747B3"/>
    <w:rsid w:val="26FA6CA5"/>
    <w:rsid w:val="270C62B7"/>
    <w:rsid w:val="270F4C41"/>
    <w:rsid w:val="27430602"/>
    <w:rsid w:val="27475901"/>
    <w:rsid w:val="27545406"/>
    <w:rsid w:val="275B0AE0"/>
    <w:rsid w:val="275B2D9A"/>
    <w:rsid w:val="27693709"/>
    <w:rsid w:val="276E0D20"/>
    <w:rsid w:val="27716A62"/>
    <w:rsid w:val="278F0442"/>
    <w:rsid w:val="27D7721B"/>
    <w:rsid w:val="28081174"/>
    <w:rsid w:val="281D44F4"/>
    <w:rsid w:val="282F7966"/>
    <w:rsid w:val="283B21DD"/>
    <w:rsid w:val="285D7924"/>
    <w:rsid w:val="28795A8F"/>
    <w:rsid w:val="28AD5878"/>
    <w:rsid w:val="28BA66DF"/>
    <w:rsid w:val="28DB4B88"/>
    <w:rsid w:val="28E3573D"/>
    <w:rsid w:val="28F33BD2"/>
    <w:rsid w:val="292A17BF"/>
    <w:rsid w:val="294A4B66"/>
    <w:rsid w:val="296D122C"/>
    <w:rsid w:val="29B54EB6"/>
    <w:rsid w:val="29FF53A3"/>
    <w:rsid w:val="2A06316E"/>
    <w:rsid w:val="2A2629D4"/>
    <w:rsid w:val="2A3D382A"/>
    <w:rsid w:val="2A3F4BF5"/>
    <w:rsid w:val="2A4E308A"/>
    <w:rsid w:val="2A6664F5"/>
    <w:rsid w:val="2A6D6556"/>
    <w:rsid w:val="2A77613D"/>
    <w:rsid w:val="2A7F3EA8"/>
    <w:rsid w:val="2A8F49E0"/>
    <w:rsid w:val="2AA66A22"/>
    <w:rsid w:val="2AED63FF"/>
    <w:rsid w:val="2AFC251F"/>
    <w:rsid w:val="2B084AD1"/>
    <w:rsid w:val="2B236475"/>
    <w:rsid w:val="2B4104F9"/>
    <w:rsid w:val="2B4E44EE"/>
    <w:rsid w:val="2B7D005E"/>
    <w:rsid w:val="2B846BA7"/>
    <w:rsid w:val="2B9826CE"/>
    <w:rsid w:val="2BBD2C03"/>
    <w:rsid w:val="2BC4508F"/>
    <w:rsid w:val="2BD1187D"/>
    <w:rsid w:val="2BED3350"/>
    <w:rsid w:val="2BED6BAB"/>
    <w:rsid w:val="2BFC5173"/>
    <w:rsid w:val="2C1A410C"/>
    <w:rsid w:val="2C1C0F19"/>
    <w:rsid w:val="2C2C11A9"/>
    <w:rsid w:val="2C2C4D47"/>
    <w:rsid w:val="2C3A5674"/>
    <w:rsid w:val="2C4A10FB"/>
    <w:rsid w:val="2C5A4142"/>
    <w:rsid w:val="2C5E2660"/>
    <w:rsid w:val="2C6A5C3F"/>
    <w:rsid w:val="2CA44508"/>
    <w:rsid w:val="2CCB6C14"/>
    <w:rsid w:val="2CD96D8A"/>
    <w:rsid w:val="2CDD05EA"/>
    <w:rsid w:val="2CFA105C"/>
    <w:rsid w:val="2D502C75"/>
    <w:rsid w:val="2D8A43D9"/>
    <w:rsid w:val="2DBD3A80"/>
    <w:rsid w:val="2DD146D3"/>
    <w:rsid w:val="2E0B6614"/>
    <w:rsid w:val="2E100D83"/>
    <w:rsid w:val="2E2C513A"/>
    <w:rsid w:val="2E2C69E4"/>
    <w:rsid w:val="2E641D37"/>
    <w:rsid w:val="2E664DDE"/>
    <w:rsid w:val="2E766A63"/>
    <w:rsid w:val="2E7806D6"/>
    <w:rsid w:val="2E7A1E0B"/>
    <w:rsid w:val="2EC93F3A"/>
    <w:rsid w:val="2ECC4F40"/>
    <w:rsid w:val="2EDD678B"/>
    <w:rsid w:val="2F452CAE"/>
    <w:rsid w:val="2F8D3E76"/>
    <w:rsid w:val="2F9A7298"/>
    <w:rsid w:val="2FA534E1"/>
    <w:rsid w:val="2FD47B8E"/>
    <w:rsid w:val="2FD60B3B"/>
    <w:rsid w:val="2FF03017"/>
    <w:rsid w:val="2FFD0E93"/>
    <w:rsid w:val="300A53BB"/>
    <w:rsid w:val="30146D95"/>
    <w:rsid w:val="302B7946"/>
    <w:rsid w:val="308723F2"/>
    <w:rsid w:val="308A02AF"/>
    <w:rsid w:val="30A419DB"/>
    <w:rsid w:val="30A47560"/>
    <w:rsid w:val="30D82C75"/>
    <w:rsid w:val="30E65093"/>
    <w:rsid w:val="310811F3"/>
    <w:rsid w:val="311341C5"/>
    <w:rsid w:val="31283B33"/>
    <w:rsid w:val="314A3F83"/>
    <w:rsid w:val="315A25C4"/>
    <w:rsid w:val="316118F5"/>
    <w:rsid w:val="31844312"/>
    <w:rsid w:val="318D3E35"/>
    <w:rsid w:val="319C46DB"/>
    <w:rsid w:val="31D74FCB"/>
    <w:rsid w:val="320423B2"/>
    <w:rsid w:val="320911D7"/>
    <w:rsid w:val="320D7E0E"/>
    <w:rsid w:val="32244DFC"/>
    <w:rsid w:val="3244724D"/>
    <w:rsid w:val="324F1E45"/>
    <w:rsid w:val="327F58EB"/>
    <w:rsid w:val="329D4BAF"/>
    <w:rsid w:val="32FB4A31"/>
    <w:rsid w:val="33153AE6"/>
    <w:rsid w:val="33166203"/>
    <w:rsid w:val="333A6475"/>
    <w:rsid w:val="333F17C2"/>
    <w:rsid w:val="335C4122"/>
    <w:rsid w:val="339A2AD4"/>
    <w:rsid w:val="34131238"/>
    <w:rsid w:val="342444CB"/>
    <w:rsid w:val="342E356B"/>
    <w:rsid w:val="34507F32"/>
    <w:rsid w:val="3497206C"/>
    <w:rsid w:val="34BD4190"/>
    <w:rsid w:val="34C178E7"/>
    <w:rsid w:val="34DA79F4"/>
    <w:rsid w:val="34DF10F7"/>
    <w:rsid w:val="350275A5"/>
    <w:rsid w:val="351537D8"/>
    <w:rsid w:val="351B0C9B"/>
    <w:rsid w:val="352F096F"/>
    <w:rsid w:val="35392584"/>
    <w:rsid w:val="357C03F5"/>
    <w:rsid w:val="35900175"/>
    <w:rsid w:val="359C4C33"/>
    <w:rsid w:val="359C7792"/>
    <w:rsid w:val="35A342A1"/>
    <w:rsid w:val="35AB46C3"/>
    <w:rsid w:val="35AD6EB7"/>
    <w:rsid w:val="35C55E0A"/>
    <w:rsid w:val="35D662A2"/>
    <w:rsid w:val="35F6716C"/>
    <w:rsid w:val="360941BC"/>
    <w:rsid w:val="367E1E95"/>
    <w:rsid w:val="36826596"/>
    <w:rsid w:val="36914A2B"/>
    <w:rsid w:val="36C56DDE"/>
    <w:rsid w:val="36CA4758"/>
    <w:rsid w:val="36CC1A0E"/>
    <w:rsid w:val="36DA1F2E"/>
    <w:rsid w:val="36DD5106"/>
    <w:rsid w:val="37145607"/>
    <w:rsid w:val="371B60A2"/>
    <w:rsid w:val="372E2279"/>
    <w:rsid w:val="37303839"/>
    <w:rsid w:val="373A142E"/>
    <w:rsid w:val="37565402"/>
    <w:rsid w:val="378C4D7F"/>
    <w:rsid w:val="37941808"/>
    <w:rsid w:val="37CD3840"/>
    <w:rsid w:val="37E40B8A"/>
    <w:rsid w:val="38055726"/>
    <w:rsid w:val="38116670"/>
    <w:rsid w:val="38122359"/>
    <w:rsid w:val="38262F51"/>
    <w:rsid w:val="38746D20"/>
    <w:rsid w:val="38946533"/>
    <w:rsid w:val="38B6081F"/>
    <w:rsid w:val="3908016A"/>
    <w:rsid w:val="392A30FB"/>
    <w:rsid w:val="39430EFE"/>
    <w:rsid w:val="39516275"/>
    <w:rsid w:val="39582175"/>
    <w:rsid w:val="39592B0D"/>
    <w:rsid w:val="396F3EC6"/>
    <w:rsid w:val="39794E4F"/>
    <w:rsid w:val="397C4A10"/>
    <w:rsid w:val="39925C75"/>
    <w:rsid w:val="39A4303F"/>
    <w:rsid w:val="39CD3FCC"/>
    <w:rsid w:val="39CD7B28"/>
    <w:rsid w:val="3A0966CD"/>
    <w:rsid w:val="3A330EDB"/>
    <w:rsid w:val="3A5543D1"/>
    <w:rsid w:val="3A5A6186"/>
    <w:rsid w:val="3A7F7C87"/>
    <w:rsid w:val="3A9C574C"/>
    <w:rsid w:val="3AB17449"/>
    <w:rsid w:val="3AEB6247"/>
    <w:rsid w:val="3B191B5E"/>
    <w:rsid w:val="3B2C7371"/>
    <w:rsid w:val="3B561D9F"/>
    <w:rsid w:val="3B697D24"/>
    <w:rsid w:val="3B7B35B3"/>
    <w:rsid w:val="3B83709F"/>
    <w:rsid w:val="3B885EF0"/>
    <w:rsid w:val="3BAC5E63"/>
    <w:rsid w:val="3BD81212"/>
    <w:rsid w:val="3C0C2EAE"/>
    <w:rsid w:val="3C325B03"/>
    <w:rsid w:val="3C94204F"/>
    <w:rsid w:val="3C975BDA"/>
    <w:rsid w:val="3CBF4B32"/>
    <w:rsid w:val="3CD16A44"/>
    <w:rsid w:val="3CE372EC"/>
    <w:rsid w:val="3CF63839"/>
    <w:rsid w:val="3D132162"/>
    <w:rsid w:val="3D3C2594"/>
    <w:rsid w:val="3D483969"/>
    <w:rsid w:val="3D5E3E77"/>
    <w:rsid w:val="3D66611D"/>
    <w:rsid w:val="3D8320B1"/>
    <w:rsid w:val="3D9D5A63"/>
    <w:rsid w:val="3DA3484B"/>
    <w:rsid w:val="3DB17760"/>
    <w:rsid w:val="3DC76796"/>
    <w:rsid w:val="3DE1766A"/>
    <w:rsid w:val="3E295549"/>
    <w:rsid w:val="3E435396"/>
    <w:rsid w:val="3E4B1963"/>
    <w:rsid w:val="3EBC63BD"/>
    <w:rsid w:val="3ED90D1D"/>
    <w:rsid w:val="3EF07205"/>
    <w:rsid w:val="3F1A3C72"/>
    <w:rsid w:val="3F2D1A27"/>
    <w:rsid w:val="3F30692A"/>
    <w:rsid w:val="3F4C7741"/>
    <w:rsid w:val="3F860E9F"/>
    <w:rsid w:val="3F8F215A"/>
    <w:rsid w:val="3FB2738E"/>
    <w:rsid w:val="3FE527C4"/>
    <w:rsid w:val="40183AC7"/>
    <w:rsid w:val="401E0B61"/>
    <w:rsid w:val="401E512E"/>
    <w:rsid w:val="40592ECB"/>
    <w:rsid w:val="40862BD8"/>
    <w:rsid w:val="40BF2194"/>
    <w:rsid w:val="40D9050A"/>
    <w:rsid w:val="41014921"/>
    <w:rsid w:val="41053CE5"/>
    <w:rsid w:val="416136DF"/>
    <w:rsid w:val="4165068F"/>
    <w:rsid w:val="4168282C"/>
    <w:rsid w:val="41950879"/>
    <w:rsid w:val="41AF0084"/>
    <w:rsid w:val="41C44063"/>
    <w:rsid w:val="41E360EF"/>
    <w:rsid w:val="41E974C9"/>
    <w:rsid w:val="420C31B7"/>
    <w:rsid w:val="424302F7"/>
    <w:rsid w:val="42A93DB9"/>
    <w:rsid w:val="42CE1738"/>
    <w:rsid w:val="42D426D5"/>
    <w:rsid w:val="42F55E87"/>
    <w:rsid w:val="43255533"/>
    <w:rsid w:val="4326424B"/>
    <w:rsid w:val="433A3D54"/>
    <w:rsid w:val="43456981"/>
    <w:rsid w:val="4368266F"/>
    <w:rsid w:val="436B092E"/>
    <w:rsid w:val="436E2F11"/>
    <w:rsid w:val="43B82C77"/>
    <w:rsid w:val="43C65643"/>
    <w:rsid w:val="43CC533A"/>
    <w:rsid w:val="43ED51DA"/>
    <w:rsid w:val="442F39F3"/>
    <w:rsid w:val="443D7768"/>
    <w:rsid w:val="445B21D4"/>
    <w:rsid w:val="44A1052F"/>
    <w:rsid w:val="44A616A1"/>
    <w:rsid w:val="44B34698"/>
    <w:rsid w:val="44C40459"/>
    <w:rsid w:val="45104F4A"/>
    <w:rsid w:val="45246A6A"/>
    <w:rsid w:val="45407847"/>
    <w:rsid w:val="4549583D"/>
    <w:rsid w:val="4577303D"/>
    <w:rsid w:val="457B2B2E"/>
    <w:rsid w:val="458A660A"/>
    <w:rsid w:val="459C5292"/>
    <w:rsid w:val="45A007E6"/>
    <w:rsid w:val="45BF6144"/>
    <w:rsid w:val="45ED0E41"/>
    <w:rsid w:val="45F971C9"/>
    <w:rsid w:val="45FB407D"/>
    <w:rsid w:val="45FD2BCE"/>
    <w:rsid w:val="46112B77"/>
    <w:rsid w:val="46222FA9"/>
    <w:rsid w:val="462431C5"/>
    <w:rsid w:val="4644178C"/>
    <w:rsid w:val="465D33FD"/>
    <w:rsid w:val="465E3877"/>
    <w:rsid w:val="466336AA"/>
    <w:rsid w:val="467E4A51"/>
    <w:rsid w:val="468945C4"/>
    <w:rsid w:val="46A53BE7"/>
    <w:rsid w:val="46B46D8F"/>
    <w:rsid w:val="46C5313B"/>
    <w:rsid w:val="46D042EE"/>
    <w:rsid w:val="47075DCA"/>
    <w:rsid w:val="47455B21"/>
    <w:rsid w:val="47576C52"/>
    <w:rsid w:val="47791908"/>
    <w:rsid w:val="47833F1C"/>
    <w:rsid w:val="478B02B6"/>
    <w:rsid w:val="479223B1"/>
    <w:rsid w:val="47A125F4"/>
    <w:rsid w:val="47AA25C7"/>
    <w:rsid w:val="47BC54D2"/>
    <w:rsid w:val="47C35B26"/>
    <w:rsid w:val="47EF182D"/>
    <w:rsid w:val="482F7405"/>
    <w:rsid w:val="483F331D"/>
    <w:rsid w:val="486C0E54"/>
    <w:rsid w:val="48B32931"/>
    <w:rsid w:val="48DA32D7"/>
    <w:rsid w:val="48F001AB"/>
    <w:rsid w:val="49043472"/>
    <w:rsid w:val="4913307D"/>
    <w:rsid w:val="49331971"/>
    <w:rsid w:val="49852879"/>
    <w:rsid w:val="49926698"/>
    <w:rsid w:val="499A1CD1"/>
    <w:rsid w:val="49B5720F"/>
    <w:rsid w:val="49E3107C"/>
    <w:rsid w:val="49EA64D4"/>
    <w:rsid w:val="4A34692A"/>
    <w:rsid w:val="4A463CF3"/>
    <w:rsid w:val="4A570F3A"/>
    <w:rsid w:val="4A630D97"/>
    <w:rsid w:val="4A71188D"/>
    <w:rsid w:val="4AA1215D"/>
    <w:rsid w:val="4AAF6DD6"/>
    <w:rsid w:val="4AB136D7"/>
    <w:rsid w:val="4AB97AC7"/>
    <w:rsid w:val="4AD064A1"/>
    <w:rsid w:val="4AEE5B50"/>
    <w:rsid w:val="4AF8077D"/>
    <w:rsid w:val="4B472D3C"/>
    <w:rsid w:val="4B6D4D75"/>
    <w:rsid w:val="4B765330"/>
    <w:rsid w:val="4BC045B9"/>
    <w:rsid w:val="4BEC28F6"/>
    <w:rsid w:val="4C065B1E"/>
    <w:rsid w:val="4C341C88"/>
    <w:rsid w:val="4C8C4B93"/>
    <w:rsid w:val="4CA86612"/>
    <w:rsid w:val="4CC13A7B"/>
    <w:rsid w:val="4CF722A6"/>
    <w:rsid w:val="4D023B34"/>
    <w:rsid w:val="4D060ABF"/>
    <w:rsid w:val="4D4859B9"/>
    <w:rsid w:val="4D664586"/>
    <w:rsid w:val="4D9815D3"/>
    <w:rsid w:val="4DCB4070"/>
    <w:rsid w:val="4DF30C68"/>
    <w:rsid w:val="4E0F74B1"/>
    <w:rsid w:val="4E15651D"/>
    <w:rsid w:val="4E221472"/>
    <w:rsid w:val="4E2C5858"/>
    <w:rsid w:val="4E2D4423"/>
    <w:rsid w:val="4E813B1E"/>
    <w:rsid w:val="4E985C60"/>
    <w:rsid w:val="4EBC428F"/>
    <w:rsid w:val="4ECB7346"/>
    <w:rsid w:val="4EE031E2"/>
    <w:rsid w:val="4F0C47F7"/>
    <w:rsid w:val="4F0E121D"/>
    <w:rsid w:val="4F251D5C"/>
    <w:rsid w:val="4F3A5875"/>
    <w:rsid w:val="4F540E61"/>
    <w:rsid w:val="4F6B4177"/>
    <w:rsid w:val="4F7343F2"/>
    <w:rsid w:val="4F844CD5"/>
    <w:rsid w:val="4F9A1DAF"/>
    <w:rsid w:val="4FB5406C"/>
    <w:rsid w:val="4FB629B4"/>
    <w:rsid w:val="4FD01D7D"/>
    <w:rsid w:val="4FD947C7"/>
    <w:rsid w:val="4FF83DDB"/>
    <w:rsid w:val="5028092C"/>
    <w:rsid w:val="50455999"/>
    <w:rsid w:val="50587CCB"/>
    <w:rsid w:val="5061143C"/>
    <w:rsid w:val="50667FCB"/>
    <w:rsid w:val="506875D7"/>
    <w:rsid w:val="507117E3"/>
    <w:rsid w:val="507822C9"/>
    <w:rsid w:val="50792360"/>
    <w:rsid w:val="5097212F"/>
    <w:rsid w:val="50CA763C"/>
    <w:rsid w:val="510C32BB"/>
    <w:rsid w:val="511A58F1"/>
    <w:rsid w:val="51240AF7"/>
    <w:rsid w:val="51275918"/>
    <w:rsid w:val="512A0EB2"/>
    <w:rsid w:val="51574F11"/>
    <w:rsid w:val="51622DF4"/>
    <w:rsid w:val="51785579"/>
    <w:rsid w:val="517D4C99"/>
    <w:rsid w:val="51D314A7"/>
    <w:rsid w:val="51EB0301"/>
    <w:rsid w:val="51F577C4"/>
    <w:rsid w:val="51FD0995"/>
    <w:rsid w:val="521C2FA3"/>
    <w:rsid w:val="522E3DAB"/>
    <w:rsid w:val="52325181"/>
    <w:rsid w:val="52372242"/>
    <w:rsid w:val="526F5525"/>
    <w:rsid w:val="527B37BE"/>
    <w:rsid w:val="527C5E22"/>
    <w:rsid w:val="529945F3"/>
    <w:rsid w:val="52B44104"/>
    <w:rsid w:val="52C20E6A"/>
    <w:rsid w:val="52EF4B5B"/>
    <w:rsid w:val="53051527"/>
    <w:rsid w:val="53135E58"/>
    <w:rsid w:val="535449BE"/>
    <w:rsid w:val="53C866F8"/>
    <w:rsid w:val="53D45486"/>
    <w:rsid w:val="541128AF"/>
    <w:rsid w:val="542D2CAE"/>
    <w:rsid w:val="5479045D"/>
    <w:rsid w:val="547F18D1"/>
    <w:rsid w:val="54853514"/>
    <w:rsid w:val="54965F5B"/>
    <w:rsid w:val="549C22AC"/>
    <w:rsid w:val="54AC4C48"/>
    <w:rsid w:val="54B710C1"/>
    <w:rsid w:val="54E9355C"/>
    <w:rsid w:val="54F902DB"/>
    <w:rsid w:val="54FB3A76"/>
    <w:rsid w:val="55005835"/>
    <w:rsid w:val="55023443"/>
    <w:rsid w:val="553C395C"/>
    <w:rsid w:val="554E1401"/>
    <w:rsid w:val="555256AB"/>
    <w:rsid w:val="55554260"/>
    <w:rsid w:val="5559450E"/>
    <w:rsid w:val="556059B1"/>
    <w:rsid w:val="559876AA"/>
    <w:rsid w:val="55A859D5"/>
    <w:rsid w:val="55B11FA7"/>
    <w:rsid w:val="55CC4CE0"/>
    <w:rsid w:val="561902E2"/>
    <w:rsid w:val="562B13D4"/>
    <w:rsid w:val="562E1A31"/>
    <w:rsid w:val="56383BE0"/>
    <w:rsid w:val="56441F5A"/>
    <w:rsid w:val="56587688"/>
    <w:rsid w:val="567D25B6"/>
    <w:rsid w:val="568A51DD"/>
    <w:rsid w:val="569577C7"/>
    <w:rsid w:val="56B62447"/>
    <w:rsid w:val="56D45D0E"/>
    <w:rsid w:val="57386AF6"/>
    <w:rsid w:val="573F488F"/>
    <w:rsid w:val="574C257C"/>
    <w:rsid w:val="577C1579"/>
    <w:rsid w:val="578142DC"/>
    <w:rsid w:val="578340A7"/>
    <w:rsid w:val="57966AD8"/>
    <w:rsid w:val="57B25938"/>
    <w:rsid w:val="57FB6223"/>
    <w:rsid w:val="58232EFA"/>
    <w:rsid w:val="584371A5"/>
    <w:rsid w:val="585E7C8F"/>
    <w:rsid w:val="58624221"/>
    <w:rsid w:val="58712EAA"/>
    <w:rsid w:val="58757606"/>
    <w:rsid w:val="58A24DAF"/>
    <w:rsid w:val="58B57CAD"/>
    <w:rsid w:val="58C15B38"/>
    <w:rsid w:val="58E40592"/>
    <w:rsid w:val="58E84F76"/>
    <w:rsid w:val="58EF6F79"/>
    <w:rsid w:val="590D5D3B"/>
    <w:rsid w:val="59140E77"/>
    <w:rsid w:val="5919648E"/>
    <w:rsid w:val="593350E3"/>
    <w:rsid w:val="5934707A"/>
    <w:rsid w:val="593B4656"/>
    <w:rsid w:val="59491009"/>
    <w:rsid w:val="594F1EAF"/>
    <w:rsid w:val="59810851"/>
    <w:rsid w:val="5986574F"/>
    <w:rsid w:val="599A4600"/>
    <w:rsid w:val="5A025174"/>
    <w:rsid w:val="5A43120C"/>
    <w:rsid w:val="5A6B2BBD"/>
    <w:rsid w:val="5A6C083F"/>
    <w:rsid w:val="5A6C56C2"/>
    <w:rsid w:val="5A8326E8"/>
    <w:rsid w:val="5AB136B3"/>
    <w:rsid w:val="5AE21889"/>
    <w:rsid w:val="5AE76118"/>
    <w:rsid w:val="5B027F4D"/>
    <w:rsid w:val="5B0C363C"/>
    <w:rsid w:val="5B353327"/>
    <w:rsid w:val="5B3C6463"/>
    <w:rsid w:val="5B4728F4"/>
    <w:rsid w:val="5B4B4BE9"/>
    <w:rsid w:val="5B570C43"/>
    <w:rsid w:val="5B580F90"/>
    <w:rsid w:val="5B5945C5"/>
    <w:rsid w:val="5B614388"/>
    <w:rsid w:val="5B7958C1"/>
    <w:rsid w:val="5B7A5E14"/>
    <w:rsid w:val="5BDB3209"/>
    <w:rsid w:val="5C53392F"/>
    <w:rsid w:val="5C53453C"/>
    <w:rsid w:val="5C5B5B4A"/>
    <w:rsid w:val="5C640EBB"/>
    <w:rsid w:val="5C823F98"/>
    <w:rsid w:val="5CD1707F"/>
    <w:rsid w:val="5CD252D1"/>
    <w:rsid w:val="5CDC1CAC"/>
    <w:rsid w:val="5CE45B49"/>
    <w:rsid w:val="5CF44A94"/>
    <w:rsid w:val="5D057DF3"/>
    <w:rsid w:val="5D521F6E"/>
    <w:rsid w:val="5D647EF4"/>
    <w:rsid w:val="5D670834"/>
    <w:rsid w:val="5D793201"/>
    <w:rsid w:val="5D7D55CE"/>
    <w:rsid w:val="5D8C1505"/>
    <w:rsid w:val="5D9D2035"/>
    <w:rsid w:val="5DA652DB"/>
    <w:rsid w:val="5DB20C5F"/>
    <w:rsid w:val="5DE60DD9"/>
    <w:rsid w:val="5DF10AEF"/>
    <w:rsid w:val="5DFE39C3"/>
    <w:rsid w:val="5E0F1C0D"/>
    <w:rsid w:val="5E2D3E26"/>
    <w:rsid w:val="5E2F680D"/>
    <w:rsid w:val="5E4C10B3"/>
    <w:rsid w:val="5E824AD5"/>
    <w:rsid w:val="5EA90B90"/>
    <w:rsid w:val="5EAF3472"/>
    <w:rsid w:val="5ED56729"/>
    <w:rsid w:val="5EF007F1"/>
    <w:rsid w:val="5EFC6952"/>
    <w:rsid w:val="5F0D4A61"/>
    <w:rsid w:val="5F36141C"/>
    <w:rsid w:val="5F381799"/>
    <w:rsid w:val="5F3B76B1"/>
    <w:rsid w:val="5F3C6126"/>
    <w:rsid w:val="5F49485F"/>
    <w:rsid w:val="5F4B550F"/>
    <w:rsid w:val="5F6C1FAC"/>
    <w:rsid w:val="5F703D10"/>
    <w:rsid w:val="5F887568"/>
    <w:rsid w:val="5FB2319F"/>
    <w:rsid w:val="5FB44FBA"/>
    <w:rsid w:val="5FDB63AC"/>
    <w:rsid w:val="602525CD"/>
    <w:rsid w:val="60576A56"/>
    <w:rsid w:val="60636AFE"/>
    <w:rsid w:val="60C03E40"/>
    <w:rsid w:val="611F600B"/>
    <w:rsid w:val="612105D5"/>
    <w:rsid w:val="614E0C9F"/>
    <w:rsid w:val="614F2A17"/>
    <w:rsid w:val="61A06617"/>
    <w:rsid w:val="61B10858"/>
    <w:rsid w:val="61B83A43"/>
    <w:rsid w:val="61FA1E46"/>
    <w:rsid w:val="624027EA"/>
    <w:rsid w:val="625D0734"/>
    <w:rsid w:val="627728B5"/>
    <w:rsid w:val="627A3EB2"/>
    <w:rsid w:val="62A3501A"/>
    <w:rsid w:val="62B0343B"/>
    <w:rsid w:val="62CA67E9"/>
    <w:rsid w:val="62D61577"/>
    <w:rsid w:val="62DB0C58"/>
    <w:rsid w:val="62F835B8"/>
    <w:rsid w:val="63027872"/>
    <w:rsid w:val="63091321"/>
    <w:rsid w:val="63141A74"/>
    <w:rsid w:val="631D058D"/>
    <w:rsid w:val="63251D62"/>
    <w:rsid w:val="634B27D5"/>
    <w:rsid w:val="634C56B2"/>
    <w:rsid w:val="63714350"/>
    <w:rsid w:val="637E5958"/>
    <w:rsid w:val="639A7D4B"/>
    <w:rsid w:val="639F3A33"/>
    <w:rsid w:val="63A96C6A"/>
    <w:rsid w:val="63CB140E"/>
    <w:rsid w:val="63D419DC"/>
    <w:rsid w:val="64126FEF"/>
    <w:rsid w:val="644A57F4"/>
    <w:rsid w:val="64A91D6C"/>
    <w:rsid w:val="64AB425E"/>
    <w:rsid w:val="64BC398A"/>
    <w:rsid w:val="64D947B6"/>
    <w:rsid w:val="653C6C31"/>
    <w:rsid w:val="654035B4"/>
    <w:rsid w:val="656D37B1"/>
    <w:rsid w:val="65896F42"/>
    <w:rsid w:val="65A0368B"/>
    <w:rsid w:val="65A7062C"/>
    <w:rsid w:val="65AF040A"/>
    <w:rsid w:val="65B03592"/>
    <w:rsid w:val="65C300DD"/>
    <w:rsid w:val="663F5A01"/>
    <w:rsid w:val="664D59C9"/>
    <w:rsid w:val="66501015"/>
    <w:rsid w:val="66573403"/>
    <w:rsid w:val="667D0ACF"/>
    <w:rsid w:val="668D30D8"/>
    <w:rsid w:val="66C315BA"/>
    <w:rsid w:val="66D61A67"/>
    <w:rsid w:val="66ED2BAA"/>
    <w:rsid w:val="66F0216D"/>
    <w:rsid w:val="671B5001"/>
    <w:rsid w:val="672F3320"/>
    <w:rsid w:val="672F6514"/>
    <w:rsid w:val="67303483"/>
    <w:rsid w:val="67377E30"/>
    <w:rsid w:val="67545E9D"/>
    <w:rsid w:val="6756600B"/>
    <w:rsid w:val="678B17DF"/>
    <w:rsid w:val="679E5A66"/>
    <w:rsid w:val="67FC4CA3"/>
    <w:rsid w:val="680F6ECB"/>
    <w:rsid w:val="6810519A"/>
    <w:rsid w:val="68211E22"/>
    <w:rsid w:val="68242759"/>
    <w:rsid w:val="6832131A"/>
    <w:rsid w:val="686D5EAE"/>
    <w:rsid w:val="68863414"/>
    <w:rsid w:val="689E2CB0"/>
    <w:rsid w:val="68A51AEC"/>
    <w:rsid w:val="68CA77A4"/>
    <w:rsid w:val="68D93544"/>
    <w:rsid w:val="68FC5FFB"/>
    <w:rsid w:val="68FD1F30"/>
    <w:rsid w:val="692A3D9F"/>
    <w:rsid w:val="692C0D1B"/>
    <w:rsid w:val="69462425"/>
    <w:rsid w:val="69591307"/>
    <w:rsid w:val="69800BB4"/>
    <w:rsid w:val="698D6225"/>
    <w:rsid w:val="69E51D4E"/>
    <w:rsid w:val="69F263A9"/>
    <w:rsid w:val="69FC0316"/>
    <w:rsid w:val="6A266891"/>
    <w:rsid w:val="6A3D7B02"/>
    <w:rsid w:val="6A531EC3"/>
    <w:rsid w:val="6A694D9B"/>
    <w:rsid w:val="6A983321"/>
    <w:rsid w:val="6ADD43B6"/>
    <w:rsid w:val="6AEC7CB1"/>
    <w:rsid w:val="6B0F4CDD"/>
    <w:rsid w:val="6B1B7FBE"/>
    <w:rsid w:val="6B5D1BBB"/>
    <w:rsid w:val="6B6762D7"/>
    <w:rsid w:val="6B86130F"/>
    <w:rsid w:val="6BB14B21"/>
    <w:rsid w:val="6BBF056D"/>
    <w:rsid w:val="6BF1329A"/>
    <w:rsid w:val="6C397AD4"/>
    <w:rsid w:val="6C63276D"/>
    <w:rsid w:val="6C690350"/>
    <w:rsid w:val="6C6B0126"/>
    <w:rsid w:val="6C6C31B3"/>
    <w:rsid w:val="6C6E378B"/>
    <w:rsid w:val="6C7D4B2E"/>
    <w:rsid w:val="6C8612C2"/>
    <w:rsid w:val="6C871509"/>
    <w:rsid w:val="6CB1488E"/>
    <w:rsid w:val="6CC74CFD"/>
    <w:rsid w:val="6CE30E35"/>
    <w:rsid w:val="6CF8099E"/>
    <w:rsid w:val="6CFE3730"/>
    <w:rsid w:val="6D1612D0"/>
    <w:rsid w:val="6D327EB6"/>
    <w:rsid w:val="6D554F4D"/>
    <w:rsid w:val="6D8D4598"/>
    <w:rsid w:val="6D8E2AD7"/>
    <w:rsid w:val="6D925FBF"/>
    <w:rsid w:val="6D982231"/>
    <w:rsid w:val="6DB4457F"/>
    <w:rsid w:val="6DCE61C3"/>
    <w:rsid w:val="6DCF5551"/>
    <w:rsid w:val="6E0E7D41"/>
    <w:rsid w:val="6E1A5C83"/>
    <w:rsid w:val="6E2473DB"/>
    <w:rsid w:val="6E3541D0"/>
    <w:rsid w:val="6E4B4B1B"/>
    <w:rsid w:val="6E512686"/>
    <w:rsid w:val="6E7048DD"/>
    <w:rsid w:val="6E8E3022"/>
    <w:rsid w:val="6EB0599B"/>
    <w:rsid w:val="6EB9634B"/>
    <w:rsid w:val="6EBB5DD8"/>
    <w:rsid w:val="6F070212"/>
    <w:rsid w:val="6F0B6CBF"/>
    <w:rsid w:val="6F0D3F47"/>
    <w:rsid w:val="6F0E3943"/>
    <w:rsid w:val="6F1902DC"/>
    <w:rsid w:val="6F365E0D"/>
    <w:rsid w:val="6FA74F93"/>
    <w:rsid w:val="70333A0F"/>
    <w:rsid w:val="703616DA"/>
    <w:rsid w:val="708C17E3"/>
    <w:rsid w:val="70B0102E"/>
    <w:rsid w:val="70D13A20"/>
    <w:rsid w:val="70D95F92"/>
    <w:rsid w:val="70F3716D"/>
    <w:rsid w:val="70FD35B7"/>
    <w:rsid w:val="71145A61"/>
    <w:rsid w:val="71492652"/>
    <w:rsid w:val="71611723"/>
    <w:rsid w:val="717B2649"/>
    <w:rsid w:val="71804F9B"/>
    <w:rsid w:val="718B2ABC"/>
    <w:rsid w:val="71A6516F"/>
    <w:rsid w:val="71E7737B"/>
    <w:rsid w:val="71EB2684"/>
    <w:rsid w:val="72045D7F"/>
    <w:rsid w:val="72084CEF"/>
    <w:rsid w:val="724177ED"/>
    <w:rsid w:val="72C25048"/>
    <w:rsid w:val="72C963D7"/>
    <w:rsid w:val="72D343D3"/>
    <w:rsid w:val="73060483"/>
    <w:rsid w:val="730C05F8"/>
    <w:rsid w:val="73631BF9"/>
    <w:rsid w:val="738547C8"/>
    <w:rsid w:val="73A40BF2"/>
    <w:rsid w:val="73AE2B08"/>
    <w:rsid w:val="73CD620E"/>
    <w:rsid w:val="73DD6D17"/>
    <w:rsid w:val="73E21E46"/>
    <w:rsid w:val="73F41B79"/>
    <w:rsid w:val="741D14C7"/>
    <w:rsid w:val="744F337F"/>
    <w:rsid w:val="745919DD"/>
    <w:rsid w:val="74674561"/>
    <w:rsid w:val="746A599D"/>
    <w:rsid w:val="74960605"/>
    <w:rsid w:val="74970D43"/>
    <w:rsid w:val="74B669EC"/>
    <w:rsid w:val="74B9593C"/>
    <w:rsid w:val="74D01C2F"/>
    <w:rsid w:val="74E25E76"/>
    <w:rsid w:val="74F32D33"/>
    <w:rsid w:val="752828BC"/>
    <w:rsid w:val="75797AA8"/>
    <w:rsid w:val="75852D0F"/>
    <w:rsid w:val="75A57AB8"/>
    <w:rsid w:val="75BC66C7"/>
    <w:rsid w:val="75D450C3"/>
    <w:rsid w:val="75D90202"/>
    <w:rsid w:val="75DD022C"/>
    <w:rsid w:val="761E236B"/>
    <w:rsid w:val="76861364"/>
    <w:rsid w:val="76937428"/>
    <w:rsid w:val="76A27E11"/>
    <w:rsid w:val="76AB5F3E"/>
    <w:rsid w:val="76AB73C0"/>
    <w:rsid w:val="76BB072D"/>
    <w:rsid w:val="76C0207E"/>
    <w:rsid w:val="76DA3479"/>
    <w:rsid w:val="76E16C86"/>
    <w:rsid w:val="76F54D59"/>
    <w:rsid w:val="770B232B"/>
    <w:rsid w:val="771340C5"/>
    <w:rsid w:val="775B578F"/>
    <w:rsid w:val="777D4E66"/>
    <w:rsid w:val="7780263D"/>
    <w:rsid w:val="77946188"/>
    <w:rsid w:val="779E7169"/>
    <w:rsid w:val="77A85155"/>
    <w:rsid w:val="77C62989"/>
    <w:rsid w:val="77D81749"/>
    <w:rsid w:val="77DF4DFB"/>
    <w:rsid w:val="77E54297"/>
    <w:rsid w:val="77ED700C"/>
    <w:rsid w:val="77F622BE"/>
    <w:rsid w:val="78001221"/>
    <w:rsid w:val="78057634"/>
    <w:rsid w:val="781619F8"/>
    <w:rsid w:val="78197E01"/>
    <w:rsid w:val="782642CC"/>
    <w:rsid w:val="78730A54"/>
    <w:rsid w:val="7882110A"/>
    <w:rsid w:val="78B66465"/>
    <w:rsid w:val="78B91D5A"/>
    <w:rsid w:val="78E5576C"/>
    <w:rsid w:val="78F30652"/>
    <w:rsid w:val="790020B8"/>
    <w:rsid w:val="79144124"/>
    <w:rsid w:val="792B772B"/>
    <w:rsid w:val="794B764A"/>
    <w:rsid w:val="797B51D8"/>
    <w:rsid w:val="798B43D9"/>
    <w:rsid w:val="7997722F"/>
    <w:rsid w:val="79996ACA"/>
    <w:rsid w:val="79DF0BD6"/>
    <w:rsid w:val="79DF2984"/>
    <w:rsid w:val="79E07F17"/>
    <w:rsid w:val="79FC52E4"/>
    <w:rsid w:val="7A293551"/>
    <w:rsid w:val="7A3F3D8D"/>
    <w:rsid w:val="7A4470D4"/>
    <w:rsid w:val="7A4520D7"/>
    <w:rsid w:val="7A50583C"/>
    <w:rsid w:val="7A68244F"/>
    <w:rsid w:val="7A710169"/>
    <w:rsid w:val="7A773AE4"/>
    <w:rsid w:val="7A97500D"/>
    <w:rsid w:val="7AB4162F"/>
    <w:rsid w:val="7AC72368"/>
    <w:rsid w:val="7ACB4EA3"/>
    <w:rsid w:val="7AD93877"/>
    <w:rsid w:val="7AE8016D"/>
    <w:rsid w:val="7B0F21BC"/>
    <w:rsid w:val="7B320CAA"/>
    <w:rsid w:val="7B354F51"/>
    <w:rsid w:val="7B552FBE"/>
    <w:rsid w:val="7B564EC8"/>
    <w:rsid w:val="7BCD6AB8"/>
    <w:rsid w:val="7BF83695"/>
    <w:rsid w:val="7C333FF5"/>
    <w:rsid w:val="7C37730F"/>
    <w:rsid w:val="7C5A2796"/>
    <w:rsid w:val="7C81229D"/>
    <w:rsid w:val="7C8B0BA1"/>
    <w:rsid w:val="7C90012C"/>
    <w:rsid w:val="7CBF2656"/>
    <w:rsid w:val="7CE320CE"/>
    <w:rsid w:val="7CE54E37"/>
    <w:rsid w:val="7CFF1D6D"/>
    <w:rsid w:val="7CFF37DC"/>
    <w:rsid w:val="7D0746CC"/>
    <w:rsid w:val="7D200F98"/>
    <w:rsid w:val="7D3D47BF"/>
    <w:rsid w:val="7D4F20A3"/>
    <w:rsid w:val="7D6C4EE0"/>
    <w:rsid w:val="7D6E1563"/>
    <w:rsid w:val="7D787289"/>
    <w:rsid w:val="7D9046C1"/>
    <w:rsid w:val="7D9A4A61"/>
    <w:rsid w:val="7DB27D69"/>
    <w:rsid w:val="7DC71AD9"/>
    <w:rsid w:val="7DD72298"/>
    <w:rsid w:val="7DFB58B2"/>
    <w:rsid w:val="7E0E55E6"/>
    <w:rsid w:val="7E1D3F2F"/>
    <w:rsid w:val="7E2E7A36"/>
    <w:rsid w:val="7E4A68BE"/>
    <w:rsid w:val="7E6671D0"/>
    <w:rsid w:val="7E812189"/>
    <w:rsid w:val="7E8B0C95"/>
    <w:rsid w:val="7E906943"/>
    <w:rsid w:val="7EB75C58"/>
    <w:rsid w:val="7ED405DD"/>
    <w:rsid w:val="7EDD19DD"/>
    <w:rsid w:val="7EFE1AFE"/>
    <w:rsid w:val="7EFE20F8"/>
    <w:rsid w:val="7F17671C"/>
    <w:rsid w:val="7F4B049E"/>
    <w:rsid w:val="7F517E80"/>
    <w:rsid w:val="7F5D4923"/>
    <w:rsid w:val="7F6F4BD9"/>
    <w:rsid w:val="7F751B65"/>
    <w:rsid w:val="7FAA57E2"/>
    <w:rsid w:val="7FBE77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qFormat="1" w:uiPriority="99" w:semiHidden="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qFormat="1" w:unhideWhenUsed="0" w:uiPriority="0" w:semiHidden="0" w:name="Date"/>
    <w:lsdException w:qFormat="1"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uiPriority="0" w:name="Body Text Indent 3"/>
    <w:lsdException w:qFormat="1" w:unhideWhenUsed="0" w:uiPriority="99" w:semiHidden="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5"/>
    <w:autoRedefine/>
    <w:qFormat/>
    <w:uiPriority w:val="0"/>
    <w:pPr>
      <w:keepNext/>
      <w:jc w:val="left"/>
      <w:outlineLvl w:val="0"/>
    </w:pPr>
    <w:rPr>
      <w:b/>
      <w:sz w:val="24"/>
    </w:rPr>
  </w:style>
  <w:style w:type="paragraph" w:styleId="4">
    <w:name w:val="heading 2"/>
    <w:basedOn w:val="1"/>
    <w:next w:val="5"/>
    <w:autoRedefine/>
    <w:qFormat/>
    <w:uiPriority w:val="0"/>
    <w:pPr>
      <w:keepNext/>
      <w:jc w:val="center"/>
      <w:outlineLvl w:val="1"/>
    </w:pPr>
    <w:rPr>
      <w:rFonts w:ascii="仿宋_GB2312"/>
      <w:sz w:val="30"/>
    </w:rPr>
  </w:style>
  <w:style w:type="paragraph" w:styleId="7">
    <w:name w:val="heading 3"/>
    <w:basedOn w:val="1"/>
    <w:next w:val="1"/>
    <w:autoRedefine/>
    <w:qFormat/>
    <w:uiPriority w:val="0"/>
    <w:pPr>
      <w:keepNext/>
      <w:outlineLvl w:val="2"/>
    </w:pPr>
    <w:rPr>
      <w:rFonts w:ascii="宋体"/>
      <w:sz w:val="32"/>
    </w:rPr>
  </w:style>
  <w:style w:type="paragraph" w:styleId="6">
    <w:name w:val="heading 4"/>
    <w:basedOn w:val="1"/>
    <w:next w:val="1"/>
    <w:autoRedefine/>
    <w:qFormat/>
    <w:uiPriority w:val="0"/>
    <w:pPr>
      <w:keepNext/>
      <w:keepLines/>
      <w:adjustRightInd w:val="0"/>
      <w:spacing w:before="280" w:after="290" w:line="376" w:lineRule="atLeast"/>
      <w:jc w:val="left"/>
      <w:textAlignment w:val="baseline"/>
      <w:outlineLvl w:val="3"/>
    </w:pPr>
    <w:rPr>
      <w:rFonts w:eastAsia="Times New Roman"/>
      <w:kern w:val="0"/>
      <w:sz w:val="20"/>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2">
    <w:name w:val="Body Text Indent"/>
    <w:basedOn w:val="1"/>
    <w:next w:val="1"/>
    <w:link w:val="49"/>
    <w:autoRedefine/>
    <w:qFormat/>
    <w:uiPriority w:val="0"/>
    <w:pPr>
      <w:ind w:firstLine="480"/>
    </w:pPr>
    <w:rPr>
      <w:sz w:val="24"/>
    </w:rPr>
  </w:style>
  <w:style w:type="paragraph" w:styleId="5">
    <w:name w:val="Normal Indent"/>
    <w:basedOn w:val="1"/>
    <w:next w:val="6"/>
    <w:link w:val="64"/>
    <w:autoRedefine/>
    <w:qFormat/>
    <w:uiPriority w:val="0"/>
    <w:pPr>
      <w:ind w:firstLine="420" w:firstLineChars="200"/>
    </w:pPr>
  </w:style>
  <w:style w:type="paragraph" w:styleId="8">
    <w:name w:val="caption"/>
    <w:basedOn w:val="1"/>
    <w:next w:val="1"/>
    <w:autoRedefine/>
    <w:qFormat/>
    <w:uiPriority w:val="0"/>
    <w:pPr>
      <w:keepNext/>
      <w:snapToGrid w:val="0"/>
      <w:jc w:val="center"/>
    </w:pPr>
    <w:rPr>
      <w:rFonts w:ascii="宋体" w:hAnsi="宋体"/>
    </w:rPr>
  </w:style>
  <w:style w:type="paragraph" w:styleId="9">
    <w:name w:val="Document Map"/>
    <w:basedOn w:val="1"/>
    <w:link w:val="58"/>
    <w:autoRedefine/>
    <w:qFormat/>
    <w:uiPriority w:val="0"/>
    <w:rPr>
      <w:rFonts w:ascii="宋体"/>
      <w:sz w:val="18"/>
      <w:szCs w:val="18"/>
    </w:rPr>
  </w:style>
  <w:style w:type="paragraph" w:styleId="10">
    <w:name w:val="annotation text"/>
    <w:basedOn w:val="1"/>
    <w:link w:val="61"/>
    <w:autoRedefine/>
    <w:qFormat/>
    <w:uiPriority w:val="0"/>
    <w:pPr>
      <w:jc w:val="left"/>
    </w:pPr>
  </w:style>
  <w:style w:type="paragraph" w:styleId="11">
    <w:name w:val="Body Text"/>
    <w:basedOn w:val="1"/>
    <w:next w:val="1"/>
    <w:link w:val="53"/>
    <w:autoRedefine/>
    <w:qFormat/>
    <w:uiPriority w:val="0"/>
    <w:pPr>
      <w:jc w:val="center"/>
    </w:pPr>
    <w:rPr>
      <w:sz w:val="24"/>
    </w:rPr>
  </w:style>
  <w:style w:type="paragraph" w:styleId="12">
    <w:name w:val="Block Text"/>
    <w:basedOn w:val="1"/>
    <w:autoRedefine/>
    <w:qFormat/>
    <w:uiPriority w:val="99"/>
    <w:pPr>
      <w:spacing w:line="440" w:lineRule="exact"/>
      <w:ind w:left="113" w:right="113" w:firstLine="567"/>
    </w:pPr>
    <w:rPr>
      <w:rFonts w:ascii="仿宋_GB2312" w:eastAsia="仿宋_GB2312"/>
      <w:sz w:val="28"/>
    </w:rPr>
  </w:style>
  <w:style w:type="paragraph" w:styleId="13">
    <w:name w:val="Plain Text"/>
    <w:basedOn w:val="1"/>
    <w:next w:val="1"/>
    <w:link w:val="45"/>
    <w:autoRedefine/>
    <w:qFormat/>
    <w:uiPriority w:val="0"/>
    <w:rPr>
      <w:rFonts w:ascii="Calibri" w:hAnsi="Calibri"/>
      <w:sz w:val="24"/>
      <w:szCs w:val="22"/>
    </w:rPr>
  </w:style>
  <w:style w:type="paragraph" w:styleId="14">
    <w:name w:val="Date"/>
    <w:basedOn w:val="1"/>
    <w:next w:val="1"/>
    <w:autoRedefine/>
    <w:qFormat/>
    <w:uiPriority w:val="0"/>
    <w:rPr>
      <w:b/>
      <w:sz w:val="32"/>
    </w:rPr>
  </w:style>
  <w:style w:type="paragraph" w:styleId="15">
    <w:name w:val="Body Text Indent 2"/>
    <w:basedOn w:val="1"/>
    <w:autoRedefine/>
    <w:qFormat/>
    <w:uiPriority w:val="0"/>
    <w:pPr>
      <w:framePr w:w="9122" w:h="13111" w:hSpace="180" w:wrap="around" w:vAnchor="text" w:hAnchor="page" w:x="1479" w:y="151"/>
      <w:pBdr>
        <w:top w:val="single" w:color="auto" w:sz="6" w:space="1"/>
        <w:left w:val="single" w:color="auto" w:sz="6" w:space="1"/>
        <w:bottom w:val="single" w:color="auto" w:sz="6" w:space="1"/>
        <w:right w:val="single" w:color="auto" w:sz="6" w:space="1"/>
      </w:pBdr>
      <w:spacing w:line="300" w:lineRule="auto"/>
      <w:ind w:firstLine="240" w:firstLineChars="100"/>
    </w:pPr>
    <w:rPr>
      <w:sz w:val="24"/>
    </w:rPr>
  </w:style>
  <w:style w:type="paragraph" w:styleId="16">
    <w:name w:val="Balloon Text"/>
    <w:basedOn w:val="1"/>
    <w:link w:val="55"/>
    <w:autoRedefine/>
    <w:qFormat/>
    <w:uiPriority w:val="0"/>
    <w:rPr>
      <w:sz w:val="18"/>
      <w:szCs w:val="18"/>
    </w:rPr>
  </w:style>
  <w:style w:type="paragraph" w:styleId="17">
    <w:name w:val="footer"/>
    <w:basedOn w:val="1"/>
    <w:autoRedefine/>
    <w:qFormat/>
    <w:uiPriority w:val="0"/>
    <w:pPr>
      <w:tabs>
        <w:tab w:val="center" w:pos="4153"/>
        <w:tab w:val="right" w:pos="8306"/>
      </w:tabs>
      <w:snapToGrid w:val="0"/>
      <w:jc w:val="left"/>
    </w:pPr>
    <w:rPr>
      <w:sz w:val="18"/>
    </w:rPr>
  </w:style>
  <w:style w:type="paragraph" w:styleId="18">
    <w:name w:val="header"/>
    <w:basedOn w:val="1"/>
    <w:autoRedefine/>
    <w:qFormat/>
    <w:uiPriority w:val="0"/>
    <w:pPr>
      <w:pBdr>
        <w:bottom w:val="single" w:color="auto" w:sz="6" w:space="1"/>
      </w:pBdr>
      <w:tabs>
        <w:tab w:val="center" w:pos="4153"/>
        <w:tab w:val="right" w:pos="8306"/>
      </w:tabs>
      <w:snapToGrid w:val="0"/>
      <w:jc w:val="center"/>
    </w:pPr>
    <w:rPr>
      <w:sz w:val="18"/>
    </w:rPr>
  </w:style>
  <w:style w:type="paragraph" w:styleId="19">
    <w:name w:val="toc 1"/>
    <w:basedOn w:val="1"/>
    <w:next w:val="1"/>
    <w:autoRedefine/>
    <w:qFormat/>
    <w:uiPriority w:val="39"/>
    <w:pPr>
      <w:tabs>
        <w:tab w:val="right" w:leader="dot" w:pos="9344"/>
      </w:tabs>
    </w:pPr>
    <w:rPr>
      <w:rFonts w:ascii="黑体" w:hAnsi="宋体" w:eastAsia="黑体"/>
      <w:kern w:val="0"/>
      <w:szCs w:val="32"/>
      <w:lang w:bidi="he-IL"/>
    </w:rPr>
  </w:style>
  <w:style w:type="paragraph" w:styleId="20">
    <w:name w:val="List"/>
    <w:basedOn w:val="1"/>
    <w:autoRedefine/>
    <w:unhideWhenUsed/>
    <w:qFormat/>
    <w:uiPriority w:val="99"/>
    <w:pPr>
      <w:ind w:left="200" w:hanging="200" w:hangingChars="200"/>
      <w:contextualSpacing/>
    </w:pPr>
  </w:style>
  <w:style w:type="paragraph" w:styleId="21">
    <w:name w:val="toc 2"/>
    <w:basedOn w:val="1"/>
    <w:next w:val="1"/>
    <w:autoRedefine/>
    <w:qFormat/>
    <w:uiPriority w:val="0"/>
    <w:pPr>
      <w:ind w:left="420" w:leftChars="200"/>
    </w:pPr>
    <w:rPr>
      <w:szCs w:val="24"/>
    </w:rPr>
  </w:style>
  <w:style w:type="paragraph" w:styleId="22">
    <w:name w:val="toc 9"/>
    <w:basedOn w:val="1"/>
    <w:next w:val="1"/>
    <w:autoRedefine/>
    <w:qFormat/>
    <w:uiPriority w:val="0"/>
    <w:pPr>
      <w:ind w:left="1680"/>
      <w:jc w:val="left"/>
    </w:pPr>
    <w:rPr>
      <w:sz w:val="18"/>
      <w:szCs w:val="18"/>
    </w:rPr>
  </w:style>
  <w:style w:type="paragraph" w:styleId="23">
    <w:name w:val="Body Text 2"/>
    <w:basedOn w:val="1"/>
    <w:autoRedefine/>
    <w:qFormat/>
    <w:uiPriority w:val="0"/>
    <w:pPr>
      <w:jc w:val="right"/>
    </w:pPr>
    <w:rPr>
      <w:sz w:val="24"/>
    </w:rPr>
  </w:style>
  <w:style w:type="paragraph" w:styleId="24">
    <w:name w:val="HTML Preformatted"/>
    <w:basedOn w:val="1"/>
    <w:link w:val="97"/>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szCs w:val="24"/>
    </w:rPr>
  </w:style>
  <w:style w:type="paragraph" w:styleId="25">
    <w:name w:val="Normal (Web)"/>
    <w:basedOn w:val="1"/>
    <w:autoRedefine/>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styleId="26">
    <w:name w:val="annotation subject"/>
    <w:basedOn w:val="10"/>
    <w:next w:val="10"/>
    <w:link w:val="50"/>
    <w:autoRedefine/>
    <w:qFormat/>
    <w:uiPriority w:val="0"/>
    <w:rPr>
      <w:b/>
      <w:bCs/>
    </w:rPr>
  </w:style>
  <w:style w:type="paragraph" w:styleId="27">
    <w:name w:val="Body Text First Indent"/>
    <w:basedOn w:val="11"/>
    <w:next w:val="1"/>
    <w:link w:val="91"/>
    <w:autoRedefine/>
    <w:unhideWhenUsed/>
    <w:qFormat/>
    <w:uiPriority w:val="0"/>
    <w:pPr>
      <w:spacing w:after="120"/>
      <w:ind w:firstLine="420" w:firstLineChars="100"/>
      <w:jc w:val="both"/>
    </w:pPr>
    <w:rPr>
      <w:sz w:val="21"/>
    </w:rPr>
  </w:style>
  <w:style w:type="paragraph" w:styleId="28">
    <w:name w:val="Body Text First Indent 2"/>
    <w:basedOn w:val="1"/>
    <w:next w:val="1"/>
    <w:autoRedefine/>
    <w:qFormat/>
    <w:uiPriority w:val="0"/>
    <w:pPr>
      <w:ind w:firstLine="420" w:firstLineChars="200"/>
    </w:pPr>
  </w:style>
  <w:style w:type="table" w:styleId="30">
    <w:name w:val="Table Grid"/>
    <w:basedOn w:val="2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page number"/>
    <w:basedOn w:val="31"/>
    <w:autoRedefine/>
    <w:qFormat/>
    <w:uiPriority w:val="0"/>
  </w:style>
  <w:style w:type="character" w:styleId="33">
    <w:name w:val="Hyperlink"/>
    <w:autoRedefine/>
    <w:qFormat/>
    <w:uiPriority w:val="0"/>
    <w:rPr>
      <w:color w:val="0000FF"/>
      <w:u w:val="single"/>
    </w:rPr>
  </w:style>
  <w:style w:type="character" w:styleId="34">
    <w:name w:val="annotation reference"/>
    <w:autoRedefine/>
    <w:qFormat/>
    <w:uiPriority w:val="0"/>
    <w:rPr>
      <w:sz w:val="21"/>
      <w:szCs w:val="21"/>
    </w:rPr>
  </w:style>
  <w:style w:type="paragraph" w:customStyle="1" w:styleId="35">
    <w:name w:val="Default1"/>
    <w:basedOn w:val="36"/>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6">
    <w:name w:val="Normal_14_0"/>
    <w:autoRedefine/>
    <w:qFormat/>
    <w:uiPriority w:val="0"/>
    <w:pPr>
      <w:spacing w:before="120" w:after="240"/>
      <w:jc w:val="both"/>
    </w:pPr>
    <w:rPr>
      <w:rFonts w:ascii="Calibri" w:hAnsi="Calibri" w:eastAsia="Calibri" w:cs="Times New Roman"/>
      <w:sz w:val="22"/>
      <w:szCs w:val="22"/>
      <w:lang w:val="ru-RU" w:eastAsia="en-US" w:bidi="ar-SA"/>
    </w:rPr>
  </w:style>
  <w:style w:type="paragraph" w:customStyle="1" w:styleId="37">
    <w:name w:val="Default"/>
    <w:basedOn w:val="38"/>
    <w:next w:val="28"/>
    <w:autoRedefine/>
    <w:semiHidden/>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8">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character" w:customStyle="1" w:styleId="39">
    <w:name w:val="正文小四 Char"/>
    <w:link w:val="40"/>
    <w:autoRedefine/>
    <w:qFormat/>
    <w:uiPriority w:val="0"/>
    <w:rPr>
      <w:kern w:val="2"/>
      <w:sz w:val="24"/>
      <w:lang w:bidi="ar-SA"/>
    </w:rPr>
  </w:style>
  <w:style w:type="paragraph" w:customStyle="1" w:styleId="40">
    <w:name w:val="正文小四"/>
    <w:link w:val="39"/>
    <w:autoRedefine/>
    <w:qFormat/>
    <w:uiPriority w:val="0"/>
    <w:pPr>
      <w:spacing w:line="360" w:lineRule="auto"/>
      <w:ind w:firstLine="200" w:firstLineChars="200"/>
    </w:pPr>
    <w:rPr>
      <w:rFonts w:ascii="Times New Roman" w:hAnsi="Times New Roman" w:eastAsia="Times New Roman" w:cs="Times New Roman"/>
      <w:kern w:val="2"/>
      <w:sz w:val="24"/>
      <w:lang w:val="en-US" w:eastAsia="zh-CN" w:bidi="ar-SA"/>
    </w:rPr>
  </w:style>
  <w:style w:type="character" w:customStyle="1" w:styleId="41">
    <w:name w:val="表头样式1 Char"/>
    <w:link w:val="42"/>
    <w:autoRedefine/>
    <w:qFormat/>
    <w:uiPriority w:val="0"/>
    <w:rPr>
      <w:rFonts w:eastAsia="黑体"/>
      <w:b/>
      <w:kern w:val="2"/>
      <w:sz w:val="24"/>
      <w:lang w:bidi="ar-SA"/>
    </w:rPr>
  </w:style>
  <w:style w:type="paragraph" w:customStyle="1" w:styleId="42">
    <w:name w:val="表头样式1"/>
    <w:basedOn w:val="1"/>
    <w:link w:val="41"/>
    <w:autoRedefine/>
    <w:qFormat/>
    <w:uiPriority w:val="0"/>
    <w:pPr>
      <w:spacing w:after="80" w:line="480" w:lineRule="atLeast"/>
      <w:jc w:val="center"/>
    </w:pPr>
    <w:rPr>
      <w:rFonts w:eastAsia="黑体"/>
      <w:b/>
      <w:sz w:val="24"/>
    </w:rPr>
  </w:style>
  <w:style w:type="character" w:customStyle="1" w:styleId="43">
    <w:name w:val="表头 Char"/>
    <w:link w:val="44"/>
    <w:autoRedefine/>
    <w:qFormat/>
    <w:uiPriority w:val="0"/>
    <w:rPr>
      <w:rFonts w:eastAsia="黑体"/>
      <w:kern w:val="2"/>
      <w:sz w:val="24"/>
      <w:szCs w:val="24"/>
    </w:rPr>
  </w:style>
  <w:style w:type="paragraph" w:customStyle="1" w:styleId="44">
    <w:name w:val="表头"/>
    <w:basedOn w:val="8"/>
    <w:link w:val="43"/>
    <w:autoRedefine/>
    <w:qFormat/>
    <w:uiPriority w:val="0"/>
    <w:pPr>
      <w:adjustRightInd w:val="0"/>
      <w:spacing w:before="93" w:beforeLines="30" w:after="93" w:afterLines="30" w:line="440" w:lineRule="exact"/>
      <w:jc w:val="center"/>
      <w:textAlignment w:val="baseline"/>
    </w:pPr>
    <w:rPr>
      <w:rFonts w:eastAsia="黑体"/>
      <w:sz w:val="24"/>
      <w:szCs w:val="24"/>
    </w:rPr>
  </w:style>
  <w:style w:type="character" w:customStyle="1" w:styleId="45">
    <w:name w:val="纯文本 字符"/>
    <w:link w:val="13"/>
    <w:autoRedefine/>
    <w:qFormat/>
    <w:uiPriority w:val="0"/>
    <w:rPr>
      <w:rFonts w:ascii="Calibri" w:hAnsi="Calibri"/>
      <w:kern w:val="2"/>
      <w:sz w:val="24"/>
      <w:szCs w:val="22"/>
    </w:rPr>
  </w:style>
  <w:style w:type="character" w:customStyle="1" w:styleId="46">
    <w:name w:val="正文缩进 Char"/>
    <w:autoRedefine/>
    <w:qFormat/>
    <w:uiPriority w:val="0"/>
    <w:rPr>
      <w:rFonts w:eastAsia="宋体"/>
      <w:kern w:val="2"/>
      <w:sz w:val="21"/>
      <w:szCs w:val="24"/>
      <w:lang w:val="en-US" w:eastAsia="zh-CN" w:bidi="ar-SA"/>
    </w:rPr>
  </w:style>
  <w:style w:type="character" w:customStyle="1" w:styleId="47">
    <w:name w:val="报告表正文 Char"/>
    <w:link w:val="48"/>
    <w:autoRedefine/>
    <w:qFormat/>
    <w:uiPriority w:val="0"/>
    <w:rPr>
      <w:rFonts w:eastAsia="楷体_GB2312"/>
      <w:kern w:val="2"/>
      <w:sz w:val="24"/>
      <w:szCs w:val="24"/>
      <w:lang w:val="en-US" w:eastAsia="zh-CN" w:bidi="ar-SA"/>
    </w:rPr>
  </w:style>
  <w:style w:type="paragraph" w:customStyle="1" w:styleId="48">
    <w:name w:val="报告表正文"/>
    <w:basedOn w:val="1"/>
    <w:link w:val="47"/>
    <w:autoRedefine/>
    <w:qFormat/>
    <w:uiPriority w:val="0"/>
    <w:pPr>
      <w:spacing w:line="360" w:lineRule="auto"/>
      <w:ind w:firstLine="200" w:firstLineChars="200"/>
    </w:pPr>
    <w:rPr>
      <w:rFonts w:eastAsia="楷体_GB2312"/>
      <w:sz w:val="24"/>
      <w:szCs w:val="24"/>
    </w:rPr>
  </w:style>
  <w:style w:type="character" w:customStyle="1" w:styleId="49">
    <w:name w:val="正文文本缩进 字符"/>
    <w:link w:val="2"/>
    <w:autoRedefine/>
    <w:qFormat/>
    <w:uiPriority w:val="0"/>
    <w:rPr>
      <w:rFonts w:ascii="仿宋_GB2312" w:hAnsi="Times New Roman" w:eastAsia="仿宋_GB2312" w:cs="Times New Roman"/>
      <w:kern w:val="2"/>
      <w:sz w:val="28"/>
      <w:szCs w:val="24"/>
    </w:rPr>
  </w:style>
  <w:style w:type="character" w:customStyle="1" w:styleId="50">
    <w:name w:val="批注主题 字符"/>
    <w:link w:val="26"/>
    <w:autoRedefine/>
    <w:qFormat/>
    <w:uiPriority w:val="0"/>
    <w:rPr>
      <w:b/>
      <w:bCs/>
      <w:kern w:val="2"/>
      <w:sz w:val="21"/>
    </w:rPr>
  </w:style>
  <w:style w:type="character" w:customStyle="1" w:styleId="51">
    <w:name w:val="样式 环科院正文 Char Char + Times New Roman Char"/>
    <w:link w:val="52"/>
    <w:autoRedefine/>
    <w:qFormat/>
    <w:uiPriority w:val="0"/>
    <w:rPr>
      <w:rFonts w:eastAsia="宋体"/>
      <w:bCs/>
      <w:sz w:val="24"/>
      <w:szCs w:val="24"/>
      <w:lang w:val="en-US" w:eastAsia="zh-CN" w:bidi="ar-SA"/>
    </w:rPr>
  </w:style>
  <w:style w:type="paragraph" w:customStyle="1" w:styleId="52">
    <w:name w:val="样式 环科院正文 Char Char + Times New Roman"/>
    <w:basedOn w:val="1"/>
    <w:link w:val="51"/>
    <w:autoRedefine/>
    <w:qFormat/>
    <w:uiPriority w:val="0"/>
    <w:pPr>
      <w:spacing w:line="300" w:lineRule="auto"/>
      <w:ind w:firstLine="200" w:firstLineChars="200"/>
    </w:pPr>
    <w:rPr>
      <w:bCs/>
      <w:kern w:val="0"/>
      <w:sz w:val="24"/>
      <w:szCs w:val="24"/>
    </w:rPr>
  </w:style>
  <w:style w:type="character" w:customStyle="1" w:styleId="53">
    <w:name w:val="正文文本 字符"/>
    <w:link w:val="11"/>
    <w:autoRedefine/>
    <w:qFormat/>
    <w:uiPriority w:val="0"/>
    <w:rPr>
      <w:kern w:val="2"/>
      <w:sz w:val="24"/>
    </w:rPr>
  </w:style>
  <w:style w:type="character" w:customStyle="1" w:styleId="54">
    <w:name w:val="正文缩进 Char1"/>
    <w:autoRedefine/>
    <w:qFormat/>
    <w:uiPriority w:val="0"/>
    <w:rPr>
      <w:rFonts w:eastAsia="宋体"/>
      <w:kern w:val="2"/>
      <w:sz w:val="21"/>
      <w:lang w:val="en-US" w:eastAsia="zh-CN" w:bidi="ar-SA"/>
    </w:rPr>
  </w:style>
  <w:style w:type="character" w:customStyle="1" w:styleId="55">
    <w:name w:val="批注框文本 字符"/>
    <w:link w:val="16"/>
    <w:autoRedefine/>
    <w:qFormat/>
    <w:uiPriority w:val="0"/>
    <w:rPr>
      <w:rFonts w:eastAsia="宋体"/>
      <w:kern w:val="2"/>
      <w:sz w:val="18"/>
      <w:szCs w:val="18"/>
      <w:lang w:val="en-US" w:eastAsia="zh-CN" w:bidi="ar-SA"/>
    </w:rPr>
  </w:style>
  <w:style w:type="character" w:customStyle="1" w:styleId="56">
    <w:name w:val="环科院表格标题 Char"/>
    <w:link w:val="57"/>
    <w:autoRedefine/>
    <w:qFormat/>
    <w:uiPriority w:val="0"/>
    <w:rPr>
      <w:rFonts w:ascii="宋体" w:hAnsi="宋体" w:eastAsia="宋体"/>
      <w:b/>
      <w:sz w:val="24"/>
      <w:lang w:val="en-US" w:eastAsia="zh-CN" w:bidi="ar-SA"/>
    </w:rPr>
  </w:style>
  <w:style w:type="paragraph" w:customStyle="1" w:styleId="57">
    <w:name w:val="环科院表格标题"/>
    <w:basedOn w:val="1"/>
    <w:link w:val="56"/>
    <w:autoRedefine/>
    <w:qFormat/>
    <w:uiPriority w:val="0"/>
    <w:pPr>
      <w:jc w:val="center"/>
    </w:pPr>
    <w:rPr>
      <w:rFonts w:ascii="宋体" w:hAnsi="宋体"/>
      <w:b/>
      <w:kern w:val="0"/>
      <w:sz w:val="24"/>
    </w:rPr>
  </w:style>
  <w:style w:type="character" w:customStyle="1" w:styleId="58">
    <w:name w:val="文档结构图 字符"/>
    <w:link w:val="9"/>
    <w:autoRedefine/>
    <w:qFormat/>
    <w:uiPriority w:val="0"/>
    <w:rPr>
      <w:rFonts w:ascii="宋体"/>
      <w:kern w:val="2"/>
      <w:sz w:val="18"/>
      <w:szCs w:val="18"/>
    </w:rPr>
  </w:style>
  <w:style w:type="character" w:customStyle="1" w:styleId="59">
    <w:name w:val="正文1 Char"/>
    <w:link w:val="60"/>
    <w:autoRedefine/>
    <w:qFormat/>
    <w:uiPriority w:val="0"/>
    <w:rPr>
      <w:rFonts w:eastAsia="宋体"/>
      <w:color w:val="0000FF"/>
      <w:kern w:val="2"/>
      <w:sz w:val="28"/>
      <w:szCs w:val="24"/>
      <w:lang w:val="en-US" w:eastAsia="zh-CN" w:bidi="ar-SA"/>
    </w:rPr>
  </w:style>
  <w:style w:type="paragraph" w:customStyle="1" w:styleId="60">
    <w:name w:val="正文1"/>
    <w:basedOn w:val="1"/>
    <w:link w:val="59"/>
    <w:autoRedefine/>
    <w:qFormat/>
    <w:uiPriority w:val="0"/>
    <w:pPr>
      <w:adjustRightInd w:val="0"/>
      <w:snapToGrid w:val="0"/>
      <w:spacing w:line="360" w:lineRule="auto"/>
      <w:ind w:firstLine="200" w:firstLineChars="200"/>
    </w:pPr>
    <w:rPr>
      <w:color w:val="0000FF"/>
      <w:sz w:val="28"/>
      <w:szCs w:val="24"/>
    </w:rPr>
  </w:style>
  <w:style w:type="character" w:customStyle="1" w:styleId="61">
    <w:name w:val="批注文字 字符"/>
    <w:link w:val="10"/>
    <w:autoRedefine/>
    <w:qFormat/>
    <w:uiPriority w:val="0"/>
    <w:rPr>
      <w:kern w:val="2"/>
      <w:sz w:val="21"/>
    </w:rPr>
  </w:style>
  <w:style w:type="character" w:customStyle="1" w:styleId="62">
    <w:name w:val="表内格式 Char1"/>
    <w:link w:val="63"/>
    <w:autoRedefine/>
    <w:qFormat/>
    <w:uiPriority w:val="0"/>
    <w:rPr>
      <w:rFonts w:ascii="宋体"/>
      <w:kern w:val="2"/>
      <w:sz w:val="18"/>
    </w:rPr>
  </w:style>
  <w:style w:type="paragraph" w:customStyle="1" w:styleId="63">
    <w:name w:val="表内格式"/>
    <w:basedOn w:val="1"/>
    <w:link w:val="62"/>
    <w:autoRedefine/>
    <w:qFormat/>
    <w:uiPriority w:val="0"/>
    <w:pPr>
      <w:spacing w:line="280" w:lineRule="exact"/>
      <w:jc w:val="center"/>
    </w:pPr>
    <w:rPr>
      <w:rFonts w:ascii="宋体"/>
      <w:sz w:val="18"/>
    </w:rPr>
  </w:style>
  <w:style w:type="character" w:customStyle="1" w:styleId="64">
    <w:name w:val="正文缩进 字符"/>
    <w:link w:val="5"/>
    <w:autoRedefine/>
    <w:qFormat/>
    <w:uiPriority w:val="0"/>
    <w:rPr>
      <w:rFonts w:ascii="Times New Roman" w:hAnsi="Times New Roman" w:eastAsia="宋体" w:cs="Times New Roman"/>
      <w:kern w:val="2"/>
      <w:sz w:val="21"/>
    </w:rPr>
  </w:style>
  <w:style w:type="character" w:customStyle="1" w:styleId="65">
    <w:name w:val="标题 1 字符"/>
    <w:link w:val="3"/>
    <w:autoRedefine/>
    <w:qFormat/>
    <w:uiPriority w:val="0"/>
    <w:rPr>
      <w:b/>
      <w:kern w:val="2"/>
      <w:sz w:val="24"/>
    </w:rPr>
  </w:style>
  <w:style w:type="paragraph" w:customStyle="1" w:styleId="66">
    <w:name w:val="Char"/>
    <w:basedOn w:val="1"/>
    <w:autoRedefine/>
    <w:qFormat/>
    <w:uiPriority w:val="0"/>
    <w:pPr>
      <w:spacing w:line="360" w:lineRule="auto"/>
    </w:pPr>
    <w:rPr>
      <w:rFonts w:ascii="Tahoma" w:hAnsi="Tahoma"/>
      <w:sz w:val="28"/>
    </w:rPr>
  </w:style>
  <w:style w:type="paragraph" w:customStyle="1" w:styleId="67">
    <w:name w:val="样式 首行缩进"/>
    <w:basedOn w:val="1"/>
    <w:autoRedefine/>
    <w:qFormat/>
    <w:uiPriority w:val="0"/>
    <w:pPr>
      <w:spacing w:before="60" w:after="60" w:line="360" w:lineRule="auto"/>
      <w:ind w:firstLine="480" w:firstLineChars="200"/>
    </w:pPr>
    <w:rPr>
      <w:rFonts w:cs="宋体"/>
      <w:sz w:val="24"/>
    </w:rPr>
  </w:style>
  <w:style w:type="paragraph" w:customStyle="1" w:styleId="68">
    <w:name w:val="基准页眉样式"/>
    <w:basedOn w:val="1"/>
    <w:autoRedefine/>
    <w:qFormat/>
    <w:uiPriority w:val="0"/>
    <w:pPr>
      <w:jc w:val="center"/>
    </w:pPr>
    <w:rPr>
      <w:rFonts w:ascii="黑体" w:eastAsia="黑体"/>
      <w:bCs/>
      <w:spacing w:val="20"/>
      <w:w w:val="150"/>
      <w:sz w:val="30"/>
      <w:szCs w:val="30"/>
    </w:rPr>
  </w:style>
  <w:style w:type="paragraph" w:customStyle="1" w:styleId="69">
    <w:name w:val="Table Paragraph"/>
    <w:basedOn w:val="1"/>
    <w:autoRedefine/>
    <w:qFormat/>
    <w:uiPriority w:val="1"/>
    <w:pPr>
      <w:jc w:val="left"/>
    </w:pPr>
    <w:rPr>
      <w:rFonts w:ascii="Calibri" w:hAnsi="Calibri" w:cs="Calibri"/>
      <w:kern w:val="0"/>
      <w:sz w:val="22"/>
      <w:szCs w:val="22"/>
      <w:lang w:eastAsia="en-US"/>
    </w:rPr>
  </w:style>
  <w:style w:type="paragraph" w:customStyle="1" w:styleId="70">
    <w:name w:val="Char1 Char Char Char"/>
    <w:basedOn w:val="1"/>
    <w:autoRedefine/>
    <w:qFormat/>
    <w:uiPriority w:val="0"/>
    <w:pPr>
      <w:spacing w:line="360" w:lineRule="auto"/>
      <w:ind w:firstLine="200" w:firstLineChars="200"/>
    </w:pPr>
    <w:rPr>
      <w:rFonts w:ascii="宋体" w:hAnsi="宋体" w:cs="宋体"/>
      <w:sz w:val="24"/>
      <w:szCs w:val="24"/>
    </w:rPr>
  </w:style>
  <w:style w:type="paragraph" w:customStyle="1" w:styleId="71">
    <w:name w:val="发布实施日期"/>
    <w:basedOn w:val="1"/>
    <w:autoRedefine/>
    <w:qFormat/>
    <w:uiPriority w:val="0"/>
    <w:pPr>
      <w:widowControl/>
    </w:pPr>
    <w:rPr>
      <w:rFonts w:ascii="黑体" w:hAnsi="宋体" w:eastAsia="黑体"/>
      <w:kern w:val="0"/>
      <w:sz w:val="28"/>
      <w:lang w:bidi="he-IL"/>
    </w:rPr>
  </w:style>
  <w:style w:type="paragraph" w:customStyle="1" w:styleId="72">
    <w:name w:val="列出段落1"/>
    <w:basedOn w:val="1"/>
    <w:autoRedefine/>
    <w:qFormat/>
    <w:uiPriority w:val="0"/>
    <w:pPr>
      <w:ind w:firstLine="420" w:firstLineChars="200"/>
    </w:pPr>
    <w:rPr>
      <w:rFonts w:ascii="Calibri" w:hAnsi="Calibri"/>
      <w:szCs w:val="22"/>
    </w:rPr>
  </w:style>
  <w:style w:type="paragraph" w:customStyle="1" w:styleId="73">
    <w:name w:val="表格(另)"/>
    <w:basedOn w:val="1"/>
    <w:next w:val="1"/>
    <w:autoRedefine/>
    <w:qFormat/>
    <w:uiPriority w:val="0"/>
    <w:pPr>
      <w:spacing w:line="312" w:lineRule="auto"/>
      <w:jc w:val="center"/>
    </w:pPr>
    <w:rPr>
      <w:szCs w:val="21"/>
    </w:rPr>
  </w:style>
  <w:style w:type="paragraph" w:customStyle="1" w:styleId="74">
    <w:name w:val="君邦正文"/>
    <w:autoRedefine/>
    <w:qFormat/>
    <w:uiPriority w:val="0"/>
    <w:pPr>
      <w:spacing w:after="60" w:line="360" w:lineRule="auto"/>
      <w:ind w:firstLine="480" w:firstLineChars="200"/>
      <w:jc w:val="both"/>
    </w:pPr>
    <w:rPr>
      <w:rFonts w:ascii="宋体" w:hAnsi="宋体" w:eastAsia="宋体" w:cs="Times New Roman"/>
      <w:bCs/>
      <w:snapToGrid w:val="0"/>
      <w:sz w:val="24"/>
      <w:lang w:val="en-US" w:eastAsia="zh-CN" w:bidi="ar-SA"/>
    </w:rPr>
  </w:style>
  <w:style w:type="paragraph" w:customStyle="1" w:styleId="75">
    <w:name w:val="Char Char3"/>
    <w:basedOn w:val="1"/>
    <w:autoRedefine/>
    <w:qFormat/>
    <w:uiPriority w:val="0"/>
    <w:pPr>
      <w:spacing w:after="148" w:afterLines="50" w:line="560" w:lineRule="exact"/>
      <w:ind w:right="1224" w:rightChars="583" w:firstLine="600" w:firstLineChars="250"/>
    </w:pPr>
    <w:rPr>
      <w:rFonts w:eastAsia="黑体"/>
      <w:sz w:val="30"/>
      <w:szCs w:val="30"/>
    </w:rPr>
  </w:style>
  <w:style w:type="paragraph" w:customStyle="1" w:styleId="76">
    <w:name w:val="表 头"/>
    <w:basedOn w:val="1"/>
    <w:autoRedefine/>
    <w:qFormat/>
    <w:uiPriority w:val="0"/>
    <w:pPr>
      <w:tabs>
        <w:tab w:val="left" w:pos="1418"/>
      </w:tabs>
      <w:adjustRightInd w:val="0"/>
      <w:spacing w:line="360" w:lineRule="auto"/>
      <w:jc w:val="center"/>
    </w:pPr>
    <w:rPr>
      <w:b/>
      <w:color w:val="000000"/>
      <w:kern w:val="24"/>
      <w:sz w:val="24"/>
      <w:szCs w:val="24"/>
      <w:lang w:val="zh-CN"/>
    </w:rPr>
  </w:style>
  <w:style w:type="paragraph" w:customStyle="1" w:styleId="77">
    <w:name w:val="标准的标志"/>
    <w:basedOn w:val="1"/>
    <w:autoRedefine/>
    <w:qFormat/>
    <w:uiPriority w:val="0"/>
    <w:pPr>
      <w:widowControl/>
    </w:pPr>
    <w:rPr>
      <w:rFonts w:ascii="宋体" w:hAnsi="Garamond"/>
      <w:b/>
      <w:bCs/>
      <w:i/>
      <w:iCs/>
      <w:kern w:val="0"/>
      <w:sz w:val="84"/>
      <w:lang w:bidi="he-IL"/>
      <w14:shadow w14:blurRad="50800" w14:dist="38100" w14:dir="2700000" w14:sx="100000" w14:sy="100000" w14:kx="0" w14:ky="0" w14:algn="tl">
        <w14:srgbClr w14:val="000000">
          <w14:alpha w14:val="60000"/>
        </w14:srgbClr>
      </w14:shadow>
    </w:rPr>
  </w:style>
  <w:style w:type="paragraph" w:customStyle="1" w:styleId="78">
    <w:name w:val="Char3"/>
    <w:basedOn w:val="1"/>
    <w:autoRedefine/>
    <w:qFormat/>
    <w:uiPriority w:val="0"/>
    <w:rPr>
      <w:szCs w:val="24"/>
    </w:rPr>
  </w:style>
  <w:style w:type="paragraph" w:customStyle="1" w:styleId="79">
    <w:name w:val="默认段落字体 Para Char Char Char Char"/>
    <w:basedOn w:val="1"/>
    <w:autoRedefine/>
    <w:qFormat/>
    <w:uiPriority w:val="0"/>
    <w:rPr>
      <w:szCs w:val="21"/>
    </w:rPr>
  </w:style>
  <w:style w:type="paragraph" w:customStyle="1" w:styleId="80">
    <w:name w:val="华能大连店厂企业标准"/>
    <w:basedOn w:val="1"/>
    <w:next w:val="1"/>
    <w:autoRedefine/>
    <w:qFormat/>
    <w:uiPriority w:val="0"/>
    <w:pPr>
      <w:widowControl/>
      <w:spacing w:before="420" w:after="60" w:line="320" w:lineRule="exact"/>
      <w:jc w:val="center"/>
    </w:pPr>
    <w:rPr>
      <w:rFonts w:ascii="宋体" w:hAnsi="宋体"/>
      <w:b/>
      <w:bCs/>
      <w:caps/>
      <w:spacing w:val="-18"/>
      <w:w w:val="150"/>
      <w:kern w:val="36"/>
      <w:sz w:val="40"/>
      <w:szCs w:val="40"/>
      <w:lang w:bidi="he-IL"/>
    </w:rPr>
  </w:style>
  <w:style w:type="paragraph" w:customStyle="1" w:styleId="81">
    <w:name w:val="标准编号"/>
    <w:basedOn w:val="1"/>
    <w:autoRedefine/>
    <w:qFormat/>
    <w:uiPriority w:val="0"/>
    <w:pPr>
      <w:widowControl/>
      <w:tabs>
        <w:tab w:val="right" w:pos="3960"/>
      </w:tabs>
      <w:spacing w:line="240" w:lineRule="atLeast"/>
      <w:ind w:right="174" w:firstLine="6015" w:firstLineChars="2140"/>
    </w:pPr>
    <w:rPr>
      <w:rFonts w:eastAsia="MS PMincho"/>
      <w:b/>
      <w:bCs/>
      <w:kern w:val="0"/>
      <w:sz w:val="28"/>
      <w:lang w:bidi="he-IL"/>
    </w:rPr>
  </w:style>
  <w:style w:type="paragraph" w:styleId="82">
    <w:name w:val="List Paragraph"/>
    <w:basedOn w:val="1"/>
    <w:autoRedefine/>
    <w:qFormat/>
    <w:uiPriority w:val="99"/>
    <w:pPr>
      <w:ind w:firstLine="420" w:firstLineChars="200"/>
    </w:pPr>
    <w:rPr>
      <w:szCs w:val="22"/>
    </w:rPr>
  </w:style>
  <w:style w:type="paragraph" w:customStyle="1" w:styleId="83">
    <w:name w:val="Char Char1 Char"/>
    <w:basedOn w:val="1"/>
    <w:autoRedefine/>
    <w:qFormat/>
    <w:uiPriority w:val="0"/>
    <w:pPr>
      <w:spacing w:line="360" w:lineRule="auto"/>
      <w:ind w:firstLine="200" w:firstLineChars="200"/>
    </w:pPr>
    <w:rPr>
      <w:rFonts w:ascii="宋体" w:hAnsi="宋体" w:cs="宋体"/>
      <w:sz w:val="24"/>
      <w:szCs w:val="24"/>
    </w:rPr>
  </w:style>
  <w:style w:type="paragraph" w:customStyle="1" w:styleId="84">
    <w:name w:val="标题3 Char Char Char Char"/>
    <w:basedOn w:val="1"/>
    <w:autoRedefine/>
    <w:qFormat/>
    <w:uiPriority w:val="0"/>
    <w:pPr>
      <w:spacing w:after="156" w:afterLines="50" w:line="560" w:lineRule="exact"/>
    </w:pPr>
    <w:rPr>
      <w:rFonts w:eastAsia="黑体"/>
      <w:sz w:val="30"/>
      <w:szCs w:val="30"/>
    </w:rPr>
  </w:style>
  <w:style w:type="paragraph" w:customStyle="1" w:styleId="85">
    <w:name w:val="表格文字"/>
    <w:basedOn w:val="1"/>
    <w:autoRedefine/>
    <w:qFormat/>
    <w:uiPriority w:val="0"/>
    <w:pPr>
      <w:jc w:val="center"/>
    </w:pPr>
    <w:rPr>
      <w:snapToGrid w:val="0"/>
      <w:kern w:val="0"/>
      <w:sz w:val="24"/>
    </w:rPr>
  </w:style>
  <w:style w:type="paragraph" w:customStyle="1" w:styleId="86">
    <w:name w:val="样式 首行缩进:  1.34 厘米"/>
    <w:basedOn w:val="1"/>
    <w:autoRedefine/>
    <w:qFormat/>
    <w:uiPriority w:val="0"/>
    <w:pPr>
      <w:spacing w:line="360" w:lineRule="auto"/>
      <w:ind w:firstLine="567"/>
    </w:pPr>
    <w:rPr>
      <w:sz w:val="28"/>
    </w:rPr>
  </w:style>
  <w:style w:type="paragraph" w:customStyle="1" w:styleId="87">
    <w:name w:val="列出段落2"/>
    <w:basedOn w:val="1"/>
    <w:autoRedefine/>
    <w:semiHidden/>
    <w:qFormat/>
    <w:uiPriority w:val="0"/>
    <w:pPr>
      <w:ind w:firstLine="420" w:firstLineChars="200"/>
    </w:pPr>
    <w:rPr>
      <w:rFonts w:ascii="Calibri" w:hAnsi="Calibri"/>
      <w:szCs w:val="21"/>
    </w:rPr>
  </w:style>
  <w:style w:type="paragraph" w:customStyle="1" w:styleId="88">
    <w:name w:val="报告书正文"/>
    <w:basedOn w:val="1"/>
    <w:link w:val="89"/>
    <w:autoRedefine/>
    <w:qFormat/>
    <w:uiPriority w:val="0"/>
    <w:pPr>
      <w:widowControl/>
      <w:spacing w:line="360" w:lineRule="auto"/>
      <w:ind w:firstLine="480" w:firstLineChars="200"/>
    </w:pPr>
    <w:rPr>
      <w:sz w:val="24"/>
    </w:rPr>
  </w:style>
  <w:style w:type="character" w:customStyle="1" w:styleId="89">
    <w:name w:val="报告书正文 Char Char"/>
    <w:link w:val="88"/>
    <w:autoRedefine/>
    <w:qFormat/>
    <w:locked/>
    <w:uiPriority w:val="0"/>
    <w:rPr>
      <w:kern w:val="2"/>
      <w:sz w:val="24"/>
    </w:rPr>
  </w:style>
  <w:style w:type="paragraph" w:customStyle="1" w:styleId="90">
    <w:name w:val="表格内"/>
    <w:autoRedefine/>
    <w:qFormat/>
    <w:uiPriority w:val="0"/>
    <w:pPr>
      <w:jc w:val="center"/>
    </w:pPr>
    <w:rPr>
      <w:rFonts w:ascii="Times New Roman" w:hAnsi="Times New Roman" w:eastAsia="宋体" w:cs="Times New Roman"/>
      <w:kern w:val="2"/>
      <w:sz w:val="18"/>
      <w:szCs w:val="21"/>
      <w:lang w:val="en-US" w:eastAsia="zh-CN" w:bidi="ar-SA"/>
    </w:rPr>
  </w:style>
  <w:style w:type="character" w:customStyle="1" w:styleId="91">
    <w:name w:val="正文首行缩进 字符"/>
    <w:basedOn w:val="53"/>
    <w:link w:val="27"/>
    <w:autoRedefine/>
    <w:qFormat/>
    <w:uiPriority w:val="0"/>
    <w:rPr>
      <w:kern w:val="2"/>
      <w:sz w:val="21"/>
    </w:rPr>
  </w:style>
  <w:style w:type="character" w:customStyle="1" w:styleId="92">
    <w:name w:val="正文样式 Char"/>
    <w:link w:val="93"/>
    <w:autoRedefine/>
    <w:qFormat/>
    <w:uiPriority w:val="0"/>
    <w:rPr>
      <w:sz w:val="24"/>
    </w:rPr>
  </w:style>
  <w:style w:type="paragraph" w:customStyle="1" w:styleId="93">
    <w:name w:val="正文样式"/>
    <w:basedOn w:val="1"/>
    <w:link w:val="92"/>
    <w:autoRedefine/>
    <w:qFormat/>
    <w:uiPriority w:val="0"/>
    <w:pPr>
      <w:adjustRightInd w:val="0"/>
      <w:spacing w:line="360" w:lineRule="auto"/>
      <w:ind w:firstLine="824" w:firstLineChars="200"/>
    </w:pPr>
    <w:rPr>
      <w:kern w:val="0"/>
      <w:sz w:val="24"/>
    </w:rPr>
  </w:style>
  <w:style w:type="paragraph" w:customStyle="1" w:styleId="94">
    <w:name w:val="表格"/>
    <w:next w:val="5"/>
    <w:autoRedefine/>
    <w:semiHidden/>
    <w:qFormat/>
    <w:uiPriority w:val="0"/>
    <w:pPr>
      <w:spacing w:line="0" w:lineRule="atLeast"/>
      <w:jc w:val="center"/>
    </w:pPr>
    <w:rPr>
      <w:rFonts w:ascii="宋体" w:hAnsi="Times New Roman" w:eastAsia="宋体" w:cs="Times New Roman"/>
      <w:sz w:val="21"/>
      <w:szCs w:val="22"/>
      <w:lang w:val="en-US" w:eastAsia="zh-CN" w:bidi="ar-SA"/>
    </w:rPr>
  </w:style>
  <w:style w:type="paragraph" w:customStyle="1" w:styleId="95">
    <w:name w:val="表格001"/>
    <w:basedOn w:val="1"/>
    <w:autoRedefine/>
    <w:qFormat/>
    <w:uiPriority w:val="0"/>
    <w:pPr>
      <w:jc w:val="center"/>
    </w:pPr>
    <w:rPr>
      <w:szCs w:val="21"/>
    </w:rPr>
  </w:style>
  <w:style w:type="character" w:customStyle="1" w:styleId="96">
    <w:name w:val="15"/>
    <w:basedOn w:val="31"/>
    <w:autoRedefine/>
    <w:qFormat/>
    <w:uiPriority w:val="0"/>
    <w:rPr>
      <w:rFonts w:hint="default" w:ascii="Times New Roman" w:hAnsi="Times New Roman" w:cs="Times New Roman"/>
    </w:rPr>
  </w:style>
  <w:style w:type="character" w:customStyle="1" w:styleId="97">
    <w:name w:val="HTML 预设格式 字符"/>
    <w:basedOn w:val="31"/>
    <w:link w:val="24"/>
    <w:autoRedefine/>
    <w:qFormat/>
    <w:uiPriority w:val="0"/>
    <w:rPr>
      <w:rFonts w:ascii="宋体" w:hAnsi="宋体"/>
      <w:sz w:val="24"/>
      <w:szCs w:val="24"/>
    </w:rPr>
  </w:style>
  <w:style w:type="paragraph" w:customStyle="1" w:styleId="98">
    <w:name w:val="表格标题1"/>
    <w:basedOn w:val="1"/>
    <w:autoRedefine/>
    <w:qFormat/>
    <w:uiPriority w:val="0"/>
    <w:pPr>
      <w:snapToGrid w:val="0"/>
      <w:spacing w:line="360" w:lineRule="auto"/>
      <w:jc w:val="center"/>
    </w:pPr>
    <w:rPr>
      <w:rFonts w:ascii="宋体"/>
      <w:b/>
      <w:spacing w:val="4"/>
      <w:sz w:val="24"/>
    </w:rPr>
  </w:style>
  <w:style w:type="paragraph" w:customStyle="1" w:styleId="99">
    <w:name w:val="样式 小四 行距: 1.5 倍行距"/>
    <w:basedOn w:val="1"/>
    <w:autoRedefine/>
    <w:qFormat/>
    <w:uiPriority w:val="0"/>
    <w:pPr>
      <w:ind w:firstLine="480" w:firstLineChars="200"/>
    </w:pPr>
    <w:rPr>
      <w:rFonts w:cs="宋体"/>
    </w:rPr>
  </w:style>
  <w:style w:type="character" w:customStyle="1" w:styleId="100">
    <w:name w:val="文本 Char"/>
    <w:link w:val="101"/>
    <w:autoRedefine/>
    <w:qFormat/>
    <w:uiPriority w:val="0"/>
    <w:rPr>
      <w:sz w:val="24"/>
    </w:rPr>
  </w:style>
  <w:style w:type="paragraph" w:customStyle="1" w:styleId="101">
    <w:name w:val="文本"/>
    <w:basedOn w:val="1"/>
    <w:link w:val="100"/>
    <w:autoRedefine/>
    <w:qFormat/>
    <w:uiPriority w:val="0"/>
    <w:pPr>
      <w:spacing w:line="360" w:lineRule="auto"/>
      <w:ind w:firstLine="480" w:firstLineChars="200"/>
    </w:pPr>
    <w:rPr>
      <w:sz w:val="24"/>
    </w:rPr>
  </w:style>
  <w:style w:type="character" w:customStyle="1" w:styleId="102">
    <w:name w:val="font31"/>
    <w:basedOn w:val="31"/>
    <w:autoRedefine/>
    <w:qFormat/>
    <w:uiPriority w:val="0"/>
    <w:rPr>
      <w:rFonts w:hint="default" w:ascii="Times New Roman" w:hAnsi="Times New Roman" w:cs="Times New Roman"/>
      <w:color w:val="000000"/>
      <w:sz w:val="24"/>
      <w:szCs w:val="24"/>
      <w:u w:val="none"/>
    </w:rPr>
  </w:style>
  <w:style w:type="character" w:customStyle="1" w:styleId="103">
    <w:name w:val="font11"/>
    <w:basedOn w:val="31"/>
    <w:autoRedefine/>
    <w:qFormat/>
    <w:uiPriority w:val="0"/>
    <w:rPr>
      <w:rFonts w:hint="eastAsia" w:ascii="宋体" w:hAnsi="宋体" w:eastAsia="宋体" w:cs="宋体"/>
      <w:color w:val="000000"/>
      <w:sz w:val="24"/>
      <w:szCs w:val="24"/>
      <w:u w:val="none"/>
    </w:rPr>
  </w:style>
  <w:style w:type="character" w:customStyle="1" w:styleId="104">
    <w:name w:val="font61"/>
    <w:basedOn w:val="31"/>
    <w:autoRedefine/>
    <w:qFormat/>
    <w:uiPriority w:val="0"/>
    <w:rPr>
      <w:rFonts w:hint="default" w:ascii="Times New Roman" w:hAnsi="Times New Roman" w:cs="Times New Roman"/>
      <w:color w:val="000000"/>
      <w:sz w:val="24"/>
      <w:szCs w:val="24"/>
      <w:u w:val="none"/>
      <w:vertAlign w:val="superscript"/>
    </w:rPr>
  </w:style>
  <w:style w:type="character" w:customStyle="1" w:styleId="105">
    <w:name w:val="font51"/>
    <w:basedOn w:val="31"/>
    <w:autoRedefine/>
    <w:qFormat/>
    <w:uiPriority w:val="0"/>
    <w:rPr>
      <w:rFonts w:hint="default" w:ascii="Times New Roman" w:hAnsi="Times New Roman" w:cs="Times New Roman"/>
      <w:color w:val="000000"/>
      <w:sz w:val="24"/>
      <w:szCs w:val="24"/>
      <w:u w:val="none"/>
      <w:vertAlign w:val="subscript"/>
    </w:rPr>
  </w:style>
  <w:style w:type="character" w:customStyle="1" w:styleId="106">
    <w:name w:val="font71"/>
    <w:basedOn w:val="31"/>
    <w:autoRedefine/>
    <w:qFormat/>
    <w:uiPriority w:val="0"/>
    <w:rPr>
      <w:rFonts w:hint="default" w:ascii="Times New Roman" w:hAnsi="Times New Roman" w:cs="Times New Roman"/>
      <w:color w:val="000000"/>
      <w:sz w:val="24"/>
      <w:szCs w:val="24"/>
      <w:u w:val="none"/>
    </w:rPr>
  </w:style>
  <w:style w:type="character" w:customStyle="1" w:styleId="107">
    <w:name w:val="font01"/>
    <w:basedOn w:val="31"/>
    <w:autoRedefine/>
    <w:qFormat/>
    <w:uiPriority w:val="0"/>
    <w:rPr>
      <w:rFonts w:hint="default" w:ascii="Times New Roman" w:hAnsi="Times New Roman" w:cs="Times New Roman"/>
      <w:color w:val="000000"/>
      <w:sz w:val="21"/>
      <w:szCs w:val="21"/>
      <w:u w:val="none"/>
    </w:rPr>
  </w:style>
  <w:style w:type="character" w:customStyle="1" w:styleId="108">
    <w:name w:val="font41"/>
    <w:basedOn w:val="31"/>
    <w:autoRedefine/>
    <w:qFormat/>
    <w:uiPriority w:val="0"/>
    <w:rPr>
      <w:rFonts w:hint="eastAsia" w:ascii="宋体" w:hAnsi="宋体" w:eastAsia="宋体" w:cs="宋体"/>
      <w:color w:val="000000"/>
      <w:sz w:val="21"/>
      <w:szCs w:val="21"/>
      <w:u w:val="none"/>
    </w:rPr>
  </w:style>
  <w:style w:type="paragraph" w:customStyle="1" w:styleId="109">
    <w:name w:val="表格标题"/>
    <w:basedOn w:val="1"/>
    <w:next w:val="1"/>
    <w:autoRedefine/>
    <w:qFormat/>
    <w:uiPriority w:val="0"/>
    <w:pPr>
      <w:jc w:val="center"/>
    </w:pPr>
    <w:rPr>
      <w:rFonts w:eastAsia="黑体"/>
      <w:b/>
      <w:kern w:val="0"/>
      <w:sz w:val="24"/>
    </w:rPr>
  </w:style>
  <w:style w:type="paragraph" w:customStyle="1" w:styleId="110">
    <w:name w:val="CB表头1"/>
    <w:basedOn w:val="111"/>
    <w:next w:val="111"/>
    <w:autoRedefine/>
    <w:qFormat/>
    <w:uiPriority w:val="0"/>
    <w:pPr>
      <w:numPr>
        <w:ilvl w:val="0"/>
        <w:numId w:val="1"/>
      </w:numPr>
      <w:spacing w:before="50" w:beforeLines="50" w:line="240" w:lineRule="auto"/>
      <w:jc w:val="center"/>
    </w:pPr>
    <w:rPr>
      <w:b/>
      <w:bCs/>
      <w:sz w:val="18"/>
      <w:szCs w:val="18"/>
    </w:rPr>
  </w:style>
  <w:style w:type="paragraph" w:customStyle="1" w:styleId="111">
    <w:name w:val="CB正文"/>
    <w:basedOn w:val="112"/>
    <w:autoRedefine/>
    <w:qFormat/>
    <w:uiPriority w:val="0"/>
    <w:pPr>
      <w:autoSpaceDE w:val="0"/>
      <w:autoSpaceDN w:val="0"/>
      <w:adjustRightInd w:val="0"/>
      <w:ind w:firstLine="420" w:firstLineChars="0"/>
    </w:pPr>
    <w:rPr>
      <w:rFonts w:hint="eastAsia"/>
      <w:color w:val="000000"/>
      <w:sz w:val="21"/>
      <w:szCs w:val="21"/>
    </w:rPr>
  </w:style>
  <w:style w:type="paragraph" w:customStyle="1" w:styleId="112">
    <w:name w:val="yt正文"/>
    <w:basedOn w:val="5"/>
    <w:next w:val="15"/>
    <w:autoRedefine/>
    <w:qFormat/>
    <w:uiPriority w:val="0"/>
    <w:pPr>
      <w:spacing w:line="360" w:lineRule="auto"/>
      <w:ind w:firstLine="200"/>
    </w:pPr>
    <w:rPr>
      <w:sz w:val="24"/>
    </w:rPr>
  </w:style>
  <w:style w:type="paragraph" w:customStyle="1" w:styleId="113">
    <w:name w:val="CB表头2"/>
    <w:basedOn w:val="111"/>
    <w:next w:val="111"/>
    <w:autoRedefine/>
    <w:qFormat/>
    <w:uiPriority w:val="0"/>
    <w:pPr>
      <w:snapToGrid w:val="0"/>
      <w:spacing w:line="240" w:lineRule="auto"/>
      <w:jc w:val="center"/>
    </w:pPr>
    <w:rPr>
      <w:b/>
      <w:color w:val="000000" w:themeColor="text1"/>
      <w14:textFill>
        <w14:solidFill>
          <w14:schemeClr w14:val="tx1"/>
        </w14:solidFill>
      </w14:textFill>
    </w:rPr>
  </w:style>
  <w:style w:type="paragraph" w:customStyle="1" w:styleId="114">
    <w:name w:val="正文(邵)"/>
    <w:basedOn w:val="1"/>
    <w:autoRedefine/>
    <w:qFormat/>
    <w:uiPriority w:val="0"/>
    <w:pPr>
      <w:widowControl/>
      <w:adjustRightInd w:val="0"/>
      <w:snapToGrid w:val="0"/>
      <w:spacing w:line="360" w:lineRule="auto"/>
      <w:ind w:firstLine="480"/>
      <w:jc w:val="left"/>
    </w:pPr>
    <w:rPr>
      <w:kern w:val="0"/>
      <w:sz w:val="24"/>
      <w:lang w:bidi="en-US"/>
    </w:rPr>
  </w:style>
  <w:style w:type="paragraph" w:customStyle="1" w:styleId="115">
    <w:name w:val="p0"/>
    <w:basedOn w:val="1"/>
    <w:autoRedefine/>
    <w:qFormat/>
    <w:uiPriority w:val="0"/>
    <w:pPr>
      <w:widowControl/>
    </w:pPr>
    <w:rPr>
      <w:rFonts w:hint="eastAsia"/>
    </w:rPr>
  </w:style>
  <w:style w:type="paragraph" w:customStyle="1" w:styleId="116">
    <w:name w:val="表头ck"/>
    <w:autoRedefine/>
    <w:qFormat/>
    <w:uiPriority w:val="0"/>
    <w:pPr>
      <w:widowControl w:val="0"/>
      <w:jc w:val="center"/>
    </w:pPr>
    <w:rPr>
      <w:rFonts w:ascii="Times New Roman" w:hAnsi="Times New Roman" w:eastAsia="宋体" w:cs="宋体"/>
      <w:color w:val="000000"/>
      <w:sz w:val="21"/>
      <w:szCs w:val="24"/>
      <w:lang w:val="en-US" w:eastAsia="zh-CN" w:bidi="ar-SA"/>
    </w:rPr>
  </w:style>
  <w:style w:type="paragraph" w:customStyle="1" w:styleId="117">
    <w:name w:val="0表格内容"/>
    <w:basedOn w:val="118"/>
    <w:autoRedefine/>
    <w:qFormat/>
    <w:uiPriority w:val="0"/>
    <w:pPr>
      <w:spacing w:line="240" w:lineRule="auto"/>
    </w:pPr>
  </w:style>
  <w:style w:type="paragraph" w:customStyle="1" w:styleId="118">
    <w:name w:val="B表内"/>
    <w:basedOn w:val="1"/>
    <w:autoRedefine/>
    <w:qFormat/>
    <w:uiPriority w:val="0"/>
    <w:pPr>
      <w:spacing w:line="0" w:lineRule="atLeast"/>
      <w:jc w:val="center"/>
    </w:pPr>
    <w:rPr>
      <w:rFonts w:ascii="Times New Roman" w:hAnsi="Times New Roman" w:eastAsia="宋体" w:cs="宋体"/>
      <w:szCs w:val="20"/>
    </w:rPr>
  </w:style>
  <w:style w:type="paragraph" w:customStyle="1" w:styleId="119">
    <w:name w:val="表格五号"/>
    <w:basedOn w:val="13"/>
    <w:autoRedefine/>
    <w:qFormat/>
    <w:uiPriority w:val="0"/>
    <w:pPr>
      <w:adjustRightInd w:val="0"/>
      <w:snapToGrid w:val="0"/>
      <w:spacing w:line="210" w:lineRule="atLeast"/>
      <w:jc w:val="center"/>
      <w:textAlignment w:val="baseline"/>
    </w:pPr>
    <w:rPr>
      <w:rFonts w:ascii="Times New Roman" w:hAnsi="Times New Roman"/>
      <w:kern w:val="0"/>
      <w:sz w:val="21"/>
    </w:rPr>
  </w:style>
  <w:style w:type="paragraph" w:customStyle="1" w:styleId="120">
    <w:name w:val="表格小五"/>
    <w:basedOn w:val="1"/>
    <w:autoRedefine/>
    <w:qFormat/>
    <w:uiPriority w:val="0"/>
    <w:pPr>
      <w:adjustRightInd w:val="0"/>
      <w:snapToGrid w:val="0"/>
      <w:spacing w:line="180" w:lineRule="atLeast"/>
      <w:jc w:val="center"/>
      <w:textAlignment w:val="baseline"/>
    </w:pPr>
    <w:rPr>
      <w:kern w:val="0"/>
      <w:sz w:val="18"/>
      <w:szCs w:val="20"/>
    </w:rPr>
  </w:style>
  <w:style w:type="paragraph" w:customStyle="1" w:styleId="121">
    <w:name w:val="正文123"/>
    <w:basedOn w:val="1"/>
    <w:next w:val="13"/>
    <w:autoRedefine/>
    <w:qFormat/>
    <w:uiPriority w:val="0"/>
    <w:pPr>
      <w:snapToGrid/>
      <w:spacing w:line="360" w:lineRule="auto"/>
      <w:ind w:firstLine="480" w:firstLineChars="200"/>
    </w:pPr>
    <w:rPr>
      <w:rFonts w:ascii="Times New Roman" w:hAnsi="Times New Roman" w:eastAsia="宋体"/>
      <w:sz w:val="24"/>
    </w:rPr>
  </w:style>
  <w:style w:type="paragraph" w:customStyle="1" w:styleId="122">
    <w:name w:val="五号表格"/>
    <w:basedOn w:val="1"/>
    <w:autoRedefine/>
    <w:qFormat/>
    <w:uiPriority w:val="0"/>
    <w:pPr>
      <w:jc w:val="center"/>
    </w:pPr>
    <w:rPr>
      <w:kern w:val="0"/>
    </w:rPr>
  </w:style>
  <w:style w:type="paragraph" w:customStyle="1" w:styleId="123">
    <w:name w:val="表格内容"/>
    <w:basedOn w:val="1"/>
    <w:autoRedefine/>
    <w:qFormat/>
    <w:uiPriority w:val="0"/>
    <w:pPr>
      <w:autoSpaceDE w:val="0"/>
      <w:autoSpaceDN w:val="0"/>
      <w:spacing w:line="240" w:lineRule="auto"/>
      <w:ind w:firstLine="0" w:firstLineChars="0"/>
      <w:jc w:val="center"/>
    </w:pPr>
    <w:rPr>
      <w:rFonts w:ascii="Times New Roman" w:hAnsi="Times New Roman"/>
      <w:kern w:val="0"/>
      <w:sz w:val="21"/>
      <w:szCs w:val="20"/>
    </w:rPr>
  </w:style>
  <w:style w:type="paragraph" w:customStyle="1" w:styleId="124">
    <w:name w:val="B正文"/>
    <w:basedOn w:val="1"/>
    <w:autoRedefine/>
    <w:qFormat/>
    <w:uiPriority w:val="0"/>
    <w:pPr>
      <w:spacing w:line="360" w:lineRule="auto"/>
      <w:ind w:firstLine="200" w:firstLineChars="200"/>
    </w:pPr>
    <w:rPr>
      <w:rFonts w:ascii="Times New Roman" w:hAnsi="Times New Roman" w:eastAsia="宋体" w:cs="Times New Roman"/>
      <w:kern w:val="0"/>
      <w:sz w:val="24"/>
      <w:szCs w:val="24"/>
    </w:rPr>
  </w:style>
  <w:style w:type="paragraph" w:customStyle="1" w:styleId="125">
    <w:name w:val="表格内文字"/>
    <w:basedOn w:val="44"/>
    <w:autoRedefine/>
    <w:qFormat/>
    <w:uiPriority w:val="0"/>
    <w:rPr>
      <w:sz w:val="21"/>
    </w:rPr>
  </w:style>
  <w:style w:type="paragraph" w:customStyle="1" w:styleId="126">
    <w:name w:val="表格内文字11111111111111"/>
    <w:basedOn w:val="1"/>
    <w:autoRedefine/>
    <w:qFormat/>
    <w:uiPriority w:val="0"/>
    <w:pPr>
      <w:adjustRightInd w:val="0"/>
      <w:snapToGrid w:val="0"/>
      <w:jc w:val="center"/>
      <w:textAlignment w:val="bottom"/>
    </w:pPr>
    <w:rPr>
      <w:rFonts w:hAnsi="宋体"/>
      <w:snapToGrid w:val="0"/>
      <w:color w:val="000000"/>
      <w:kern w:val="0"/>
    </w:rPr>
  </w:style>
  <w:style w:type="paragraph" w:customStyle="1" w:styleId="127">
    <w:name w:val="普通(网站)1"/>
    <w:basedOn w:val="1"/>
    <w:autoRedefine/>
    <w:qFormat/>
    <w:uiPriority w:val="0"/>
    <w:pPr>
      <w:spacing w:before="100" w:beforeAutospacing="1" w:after="100" w:afterAutospacing="1"/>
    </w:pPr>
    <w:rPr>
      <w:rFonts w:ascii="宋体" w:hAnsi="宋体" w:eastAsia="宋体" w:cs="宋体"/>
      <w:sz w:val="24"/>
    </w:rPr>
  </w:style>
  <w:style w:type="paragraph" w:customStyle="1" w:styleId="128">
    <w:name w:val="表中正文标题"/>
    <w:basedOn w:val="1"/>
    <w:autoRedefine/>
    <w:qFormat/>
    <w:uiPriority w:val="0"/>
    <w:pPr>
      <w:jc w:val="center"/>
    </w:pPr>
    <w:rPr>
      <w:rFonts w:hint="eastAsia"/>
      <w:spacing w:val="4"/>
    </w:rPr>
  </w:style>
  <w:style w:type="paragraph" w:customStyle="1" w:styleId="129">
    <w:name w:val="表2内容"/>
    <w:basedOn w:val="1"/>
    <w:autoRedefine/>
    <w:qFormat/>
    <w:uiPriority w:val="0"/>
    <w:pPr>
      <w:spacing w:line="240" w:lineRule="exact"/>
      <w:ind w:firstLine="0" w:firstLineChars="0"/>
      <w:jc w:val="center"/>
    </w:pPr>
    <w:rPr>
      <w:sz w:val="18"/>
    </w:rPr>
  </w:style>
  <w:style w:type="paragraph" w:customStyle="1" w:styleId="130">
    <w:name w:val="1文章"/>
    <w:basedOn w:val="1"/>
    <w:autoRedefine/>
    <w:qFormat/>
    <w:uiPriority w:val="0"/>
    <w:pPr>
      <w:snapToGrid w:val="0"/>
      <w:spacing w:line="360" w:lineRule="auto"/>
      <w:ind w:firstLine="573"/>
    </w:pPr>
    <w:rPr>
      <w:rFonts w:eastAsia="仿宋_GB2312"/>
      <w:sz w:val="28"/>
    </w:rPr>
  </w:style>
  <w:style w:type="paragraph" w:customStyle="1" w:styleId="131">
    <w:name w:val="样式 小四 黑色 行距: 固定值 26 磅"/>
    <w:basedOn w:val="1"/>
    <w:autoRedefine/>
    <w:qFormat/>
    <w:uiPriority w:val="0"/>
    <w:pPr>
      <w:spacing w:line="520" w:lineRule="exact"/>
      <w:ind w:firstLine="509" w:firstLineChars="202"/>
    </w:pPr>
    <w:rPr>
      <w:color w:val="000000"/>
      <w:spacing w:val="6"/>
      <w:sz w:val="24"/>
    </w:rPr>
  </w:style>
  <w:style w:type="paragraph" w:customStyle="1" w:styleId="132">
    <w:name w:val="表格内正文"/>
    <w:basedOn w:val="1"/>
    <w:autoRedefine/>
    <w:qFormat/>
    <w:uiPriority w:val="0"/>
    <w:pPr>
      <w:spacing w:line="360" w:lineRule="auto"/>
      <w:ind w:firstLine="493"/>
    </w:pPr>
    <w:rPr>
      <w:rFonts w:ascii="宋体" w:hAnsi="宋体"/>
      <w:spacing w:val="4"/>
      <w:kern w:val="18"/>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numbering" Target="numbering.xml"/><Relationship Id="rId30" Type="http://schemas.openxmlformats.org/officeDocument/2006/relationships/image" Target="media/image16.jpeg"/><Relationship Id="rId3" Type="http://schemas.openxmlformats.org/officeDocument/2006/relationships/header" Target="header1.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emf"/><Relationship Id="rId18" Type="http://schemas.openxmlformats.org/officeDocument/2006/relationships/oleObject" Target="embeddings/oleObject5.bin"/><Relationship Id="rId17" Type="http://schemas.openxmlformats.org/officeDocument/2006/relationships/image" Target="media/image4.emf"/><Relationship Id="rId16" Type="http://schemas.openxmlformats.org/officeDocument/2006/relationships/oleObject" Target="embeddings/oleObject4.bin"/><Relationship Id="rId15" Type="http://schemas.openxmlformats.org/officeDocument/2006/relationships/image" Target="media/image3.emf"/><Relationship Id="rId14" Type="http://schemas.openxmlformats.org/officeDocument/2006/relationships/oleObject" Target="embeddings/oleObject3.bin"/><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4AE6A-A232-4CD4-809A-3028A814DB12}">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58</Pages>
  <Words>27147</Words>
  <Characters>38599</Characters>
  <Lines>1</Lines>
  <Paragraphs>1</Paragraphs>
  <TotalTime>19</TotalTime>
  <ScaleCrop>false</ScaleCrop>
  <LinksUpToDate>false</LinksUpToDate>
  <CharactersWithSpaces>39285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2017-05-24T01:15:00Z</dcterms:created>
  <dc:creator>Administrator</dc:creator>
  <cp:lastModifiedBy>吴</cp:lastModifiedBy>
  <cp:lastPrinted>2022-09-15T05:54:00Z</cp:lastPrinted>
  <dcterms:modified xsi:type="dcterms:W3CDTF">2024-06-06T00:50:06Z</dcterms:modified>
  <dc:title>建 设 项 目 竣 工 环 境 保 护</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936B873CCF364C55BA7DD62A6D05C8D2_13</vt:lpwstr>
  </property>
</Properties>
</file>